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华文仿宋" w:hAnsi="华文仿宋" w:eastAsia="华文仿宋"/>
          <w:sz w:val="72"/>
          <w:szCs w:val="72"/>
        </w:rPr>
      </w:pPr>
      <w:bookmarkStart w:id="0" w:name="_GoBack"/>
      <w:bookmarkEnd w:id="0"/>
    </w:p>
    <w:p>
      <w:pPr>
        <w:spacing w:line="440" w:lineRule="exact"/>
        <w:rPr>
          <w:rFonts w:hint="eastAsia" w:ascii="仿宋_GB2312" w:eastAsia="仿宋_GB2312"/>
          <w:b/>
          <w:sz w:val="30"/>
          <w:szCs w:val="30"/>
        </w:rPr>
      </w:pPr>
    </w:p>
    <w:p>
      <w:pPr>
        <w:spacing w:line="440" w:lineRule="exact"/>
        <w:rPr>
          <w:rFonts w:hint="eastAsia" w:ascii="仿宋_GB2312" w:eastAsia="仿宋_GB2312"/>
          <w:b/>
          <w:sz w:val="30"/>
          <w:szCs w:val="30"/>
        </w:rPr>
      </w:pPr>
    </w:p>
    <w:p>
      <w:pPr>
        <w:tabs>
          <w:tab w:val="left" w:pos="5580"/>
          <w:tab w:val="left" w:pos="6480"/>
        </w:tabs>
        <w:spacing w:line="560" w:lineRule="exact"/>
        <w:ind w:right="63" w:rightChars="30"/>
        <w:jc w:val="center"/>
        <w:rPr>
          <w:rFonts w:hint="eastAsia" w:ascii="仿宋_GB2312" w:hAnsi="华文中宋" w:eastAsia="仿宋_GB2312"/>
          <w:b/>
          <w:sz w:val="32"/>
          <w:szCs w:val="32"/>
        </w:rPr>
      </w:pPr>
      <w:r>
        <w:rPr>
          <w:rFonts w:hint="eastAsia" w:ascii="仿宋_GB2312" w:hAnsi="华文中宋" w:eastAsia="仿宋_GB2312"/>
          <w:b/>
          <w:sz w:val="48"/>
          <w:szCs w:val="48"/>
        </w:rPr>
        <w:t>安徽交通优质工程奖评选办法</w:t>
      </w:r>
    </w:p>
    <w:p>
      <w:pPr>
        <w:tabs>
          <w:tab w:val="left" w:pos="5580"/>
          <w:tab w:val="left" w:pos="6480"/>
        </w:tabs>
        <w:spacing w:line="440" w:lineRule="exact"/>
        <w:ind w:right="63" w:rightChars="30"/>
        <w:jc w:val="center"/>
        <w:rPr>
          <w:rFonts w:hint="eastAsia" w:ascii="仿宋_GB2312" w:hAnsi="华文中宋" w:eastAsia="仿宋_GB2312"/>
          <w:b/>
          <w:sz w:val="30"/>
          <w:szCs w:val="30"/>
        </w:rPr>
      </w:pPr>
    </w:p>
    <w:p>
      <w:pPr>
        <w:tabs>
          <w:tab w:val="left" w:pos="5580"/>
          <w:tab w:val="left" w:pos="6480"/>
          <w:tab w:val="left" w:pos="7740"/>
        </w:tabs>
        <w:spacing w:line="420" w:lineRule="exact"/>
        <w:ind w:right="84" w:rightChars="40"/>
        <w:jc w:val="center"/>
        <w:rPr>
          <w:rFonts w:hint="eastAsia" w:ascii="仿宋" w:hAnsi="仿宋" w:eastAsia="仿宋"/>
          <w:b/>
          <w:bCs/>
          <w:sz w:val="32"/>
          <w:szCs w:val="32"/>
        </w:rPr>
      </w:pPr>
      <w:r>
        <w:rPr>
          <w:rFonts w:hint="eastAsia" w:ascii="仿宋" w:hAnsi="仿宋" w:eastAsia="仿宋"/>
          <w:b/>
          <w:bCs/>
          <w:sz w:val="32"/>
          <w:szCs w:val="32"/>
        </w:rPr>
        <w:t>第一章  总  则</w:t>
      </w:r>
    </w:p>
    <w:p>
      <w:pPr>
        <w:tabs>
          <w:tab w:val="left" w:pos="5580"/>
          <w:tab w:val="left" w:pos="6480"/>
          <w:tab w:val="left" w:pos="7740"/>
        </w:tabs>
        <w:spacing w:line="420" w:lineRule="exact"/>
        <w:ind w:right="84" w:rightChars="40"/>
        <w:jc w:val="center"/>
        <w:rPr>
          <w:rFonts w:hint="eastAsia" w:ascii="仿宋" w:hAnsi="仿宋" w:eastAsia="仿宋"/>
          <w:b/>
          <w:bCs/>
          <w:sz w:val="32"/>
          <w:szCs w:val="32"/>
        </w:rPr>
      </w:pPr>
    </w:p>
    <w:p>
      <w:pPr>
        <w:spacing w:line="600" w:lineRule="exact"/>
        <w:ind w:firstLine="643" w:firstLineChars="200"/>
        <w:rPr>
          <w:rFonts w:hint="eastAsia" w:ascii="仿宋" w:hAnsi="仿宋" w:eastAsia="仿宋"/>
          <w:bCs/>
          <w:sz w:val="30"/>
          <w:szCs w:val="30"/>
        </w:rPr>
      </w:pPr>
      <w:r>
        <w:rPr>
          <w:rFonts w:hint="eastAsia" w:ascii="仿宋" w:hAnsi="仿宋" w:eastAsia="仿宋"/>
          <w:b/>
          <w:bCs w:val="0"/>
          <w:sz w:val="32"/>
          <w:szCs w:val="32"/>
        </w:rPr>
        <w:t xml:space="preserve">第一条 </w:t>
      </w:r>
      <w:r>
        <w:rPr>
          <w:rFonts w:hint="eastAsia" w:ascii="仿宋" w:hAnsi="仿宋" w:eastAsia="仿宋"/>
          <w:bCs/>
          <w:sz w:val="32"/>
          <w:szCs w:val="32"/>
        </w:rPr>
        <w:t xml:space="preserve"> 为鼓励我省公路、水运建设从业单位规范管理、提升质量、诚实守信、积极创新</w:t>
      </w:r>
      <w:r>
        <w:rPr>
          <w:rFonts w:hint="eastAsia" w:ascii="仿宋" w:hAnsi="仿宋" w:eastAsia="仿宋"/>
          <w:bCs/>
          <w:sz w:val="30"/>
          <w:szCs w:val="30"/>
        </w:rPr>
        <w:t>，特制定本办法。</w:t>
      </w:r>
    </w:p>
    <w:p>
      <w:pPr>
        <w:spacing w:line="600" w:lineRule="exact"/>
        <w:ind w:firstLine="643" w:firstLineChars="200"/>
        <w:rPr>
          <w:rFonts w:hint="eastAsia" w:ascii="仿宋" w:hAnsi="仿宋" w:eastAsia="仿宋"/>
          <w:bCs/>
          <w:sz w:val="32"/>
          <w:szCs w:val="32"/>
        </w:rPr>
      </w:pPr>
      <w:r>
        <w:rPr>
          <w:rFonts w:hint="eastAsia" w:ascii="仿宋" w:hAnsi="仿宋" w:eastAsia="仿宋"/>
          <w:b/>
          <w:bCs w:val="0"/>
          <w:sz w:val="32"/>
          <w:szCs w:val="32"/>
        </w:rPr>
        <w:t>第二条</w:t>
      </w:r>
      <w:r>
        <w:rPr>
          <w:rFonts w:hint="eastAsia" w:ascii="仿宋" w:hAnsi="仿宋" w:eastAsia="仿宋"/>
          <w:bCs/>
          <w:sz w:val="32"/>
          <w:szCs w:val="32"/>
        </w:rPr>
        <w:t xml:space="preserve"> 安徽省境内的公路、水运工程新建、改建、扩建项目适用于本办法。</w:t>
      </w:r>
    </w:p>
    <w:p>
      <w:pPr>
        <w:spacing w:line="600" w:lineRule="exact"/>
        <w:ind w:firstLine="643" w:firstLineChars="200"/>
        <w:rPr>
          <w:rFonts w:hint="eastAsia" w:ascii="仿宋" w:hAnsi="仿宋" w:eastAsia="仿宋"/>
          <w:bCs/>
          <w:sz w:val="32"/>
          <w:szCs w:val="32"/>
        </w:rPr>
      </w:pPr>
      <w:r>
        <w:rPr>
          <w:rFonts w:hint="eastAsia" w:ascii="仿宋" w:hAnsi="仿宋" w:eastAsia="仿宋"/>
          <w:b/>
          <w:bCs w:val="0"/>
          <w:sz w:val="32"/>
          <w:szCs w:val="32"/>
        </w:rPr>
        <w:t>第三条</w:t>
      </w:r>
      <w:r>
        <w:rPr>
          <w:rFonts w:hint="eastAsia" w:ascii="仿宋" w:hAnsi="仿宋" w:eastAsia="仿宋"/>
          <w:bCs/>
          <w:sz w:val="32"/>
          <w:szCs w:val="32"/>
        </w:rPr>
        <w:t xml:space="preserve">  安徽交通优质工程奖（以下简称优质工程奖）是安徽交通建设行业省级质量奖。</w:t>
      </w:r>
    </w:p>
    <w:p>
      <w:pPr>
        <w:spacing w:line="600" w:lineRule="exact"/>
        <w:ind w:firstLine="643" w:firstLineChars="200"/>
        <w:rPr>
          <w:rFonts w:hint="eastAsia" w:ascii="仿宋" w:hAnsi="仿宋" w:eastAsia="仿宋"/>
          <w:sz w:val="32"/>
          <w:szCs w:val="32"/>
        </w:rPr>
      </w:pPr>
      <w:r>
        <w:rPr>
          <w:rFonts w:hint="eastAsia" w:ascii="仿宋" w:hAnsi="仿宋" w:eastAsia="仿宋"/>
          <w:b/>
          <w:bCs/>
          <w:sz w:val="32"/>
          <w:szCs w:val="32"/>
        </w:rPr>
        <w:t>第四条</w:t>
      </w:r>
      <w:r>
        <w:rPr>
          <w:rFonts w:hint="eastAsia" w:ascii="仿宋" w:hAnsi="仿宋" w:eastAsia="仿宋"/>
          <w:sz w:val="32"/>
          <w:szCs w:val="32"/>
        </w:rPr>
        <w:t xml:space="preserve">  安徽交通优质工程奖原则上每年评选一次。</w:t>
      </w:r>
    </w:p>
    <w:p>
      <w:pPr>
        <w:spacing w:line="600" w:lineRule="exact"/>
        <w:ind w:firstLine="643" w:firstLineChars="200"/>
        <w:rPr>
          <w:rFonts w:hint="eastAsia" w:ascii="仿宋" w:hAnsi="仿宋" w:eastAsia="仿宋"/>
          <w:sz w:val="32"/>
          <w:szCs w:val="32"/>
        </w:rPr>
      </w:pPr>
      <w:r>
        <w:rPr>
          <w:rFonts w:hint="eastAsia" w:ascii="仿宋" w:hAnsi="仿宋" w:eastAsia="仿宋"/>
          <w:b/>
          <w:sz w:val="32"/>
          <w:szCs w:val="32"/>
        </w:rPr>
        <w:t xml:space="preserve">第五条  </w:t>
      </w:r>
      <w:r>
        <w:rPr>
          <w:rFonts w:hint="eastAsia" w:ascii="仿宋" w:hAnsi="仿宋" w:eastAsia="仿宋"/>
          <w:sz w:val="32"/>
          <w:szCs w:val="32"/>
        </w:rPr>
        <w:t>安徽公路建设行业协会在安徽省交通运输厅指导下负责优质工程奖评选工作。</w:t>
      </w:r>
    </w:p>
    <w:p>
      <w:pPr>
        <w:tabs>
          <w:tab w:val="left" w:pos="5580"/>
          <w:tab w:val="left" w:pos="6480"/>
        </w:tabs>
        <w:spacing w:line="440" w:lineRule="exact"/>
        <w:ind w:right="63" w:rightChars="30"/>
        <w:jc w:val="center"/>
        <w:rPr>
          <w:rFonts w:hint="eastAsia" w:ascii="仿宋_GB2312" w:hAnsi="华文中宋" w:eastAsia="仿宋_GB2312"/>
          <w:b/>
          <w:sz w:val="30"/>
          <w:szCs w:val="30"/>
        </w:rPr>
      </w:pPr>
    </w:p>
    <w:p>
      <w:pPr>
        <w:tabs>
          <w:tab w:val="left" w:pos="5580"/>
          <w:tab w:val="left" w:pos="6480"/>
          <w:tab w:val="left" w:pos="7740"/>
        </w:tabs>
        <w:spacing w:line="420" w:lineRule="exact"/>
        <w:ind w:right="84" w:rightChars="40"/>
        <w:jc w:val="center"/>
        <w:rPr>
          <w:rFonts w:hint="eastAsia" w:ascii="仿宋" w:hAnsi="仿宋" w:eastAsia="仿宋"/>
          <w:b/>
          <w:bCs/>
          <w:sz w:val="32"/>
          <w:szCs w:val="32"/>
        </w:rPr>
      </w:pPr>
      <w:r>
        <w:rPr>
          <w:rFonts w:hint="eastAsia" w:ascii="仿宋" w:hAnsi="仿宋" w:eastAsia="仿宋"/>
          <w:b/>
          <w:bCs/>
          <w:sz w:val="32"/>
          <w:szCs w:val="32"/>
        </w:rPr>
        <w:t>第二章  评选标准</w:t>
      </w:r>
    </w:p>
    <w:p>
      <w:pPr>
        <w:tabs>
          <w:tab w:val="left" w:pos="5580"/>
          <w:tab w:val="left" w:pos="6480"/>
        </w:tabs>
        <w:spacing w:line="440" w:lineRule="exact"/>
        <w:ind w:right="63" w:rightChars="30"/>
        <w:jc w:val="center"/>
        <w:rPr>
          <w:rFonts w:hint="eastAsia" w:ascii="仿宋_GB2312" w:hAnsi="华文中宋" w:eastAsia="仿宋_GB2312"/>
          <w:b/>
          <w:sz w:val="32"/>
          <w:szCs w:val="32"/>
        </w:rPr>
      </w:pPr>
    </w:p>
    <w:p>
      <w:pPr>
        <w:spacing w:line="600" w:lineRule="exact"/>
        <w:ind w:firstLine="643" w:firstLineChars="200"/>
        <w:rPr>
          <w:rFonts w:hint="eastAsia" w:ascii="仿宋" w:hAnsi="仿宋" w:eastAsia="仿宋"/>
          <w:b/>
          <w:sz w:val="32"/>
          <w:szCs w:val="32"/>
        </w:rPr>
      </w:pPr>
      <w:r>
        <w:rPr>
          <w:rFonts w:hint="eastAsia" w:ascii="仿宋" w:hAnsi="仿宋" w:eastAsia="仿宋"/>
          <w:b/>
          <w:sz w:val="32"/>
          <w:szCs w:val="32"/>
        </w:rPr>
        <w:t>第六条</w:t>
      </w:r>
      <w:r>
        <w:rPr>
          <w:rFonts w:hint="eastAsia" w:ascii="仿宋" w:hAnsi="仿宋" w:eastAsia="仿宋"/>
          <w:sz w:val="32"/>
          <w:szCs w:val="32"/>
        </w:rPr>
        <w:t xml:space="preserve">  优质工程奖按下列标准评选：</w:t>
      </w:r>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（一）符合国家和省有关法律、法规、技术标准和公路、水运工程勘察、设计、施工规范规程的要求；</w:t>
      </w:r>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（二）理念先进，管理规范，投资和工期控制合理；</w:t>
      </w:r>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（三）设计科学，施工精细，质量优良；</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（四）推广使用新技术、新工艺、新材料、新设备；</w: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rPr>
          <w:rFonts w:hint="eastAsia" w:ascii="仿宋" w:hAnsi="仿宋" w:eastAsia="仿宋"/>
          <w:sz w:val="32"/>
          <w:szCs w:val="32"/>
        </w:rPr>
      </w:pPr>
    </w:p>
    <w:p>
      <w:pPr>
        <w:numPr>
          <w:ilvl w:val="0"/>
          <w:numId w:val="1"/>
        </w:numPr>
        <w:spacing w:line="600" w:lineRule="exact"/>
        <w:ind w:firstLine="640" w:firstLineChars="200"/>
        <w:rPr>
          <w:rFonts w:hint="eastAsia" w:ascii="仿宋" w:hAnsi="仿宋" w:eastAsia="仿宋" w:cs="Tahoma"/>
          <w:kern w:val="0"/>
          <w:sz w:val="32"/>
          <w:szCs w:val="32"/>
        </w:rPr>
      </w:pPr>
      <w:r>
        <w:rPr>
          <w:rFonts w:hint="eastAsia" w:ascii="仿宋" w:hAnsi="仿宋" w:eastAsia="仿宋" w:cs="Tahoma"/>
          <w:kern w:val="0"/>
          <w:sz w:val="32"/>
          <w:szCs w:val="32"/>
        </w:rPr>
        <w:t>安全、环保、设施齐全、环境优美；</w:t>
      </w:r>
    </w:p>
    <w:p>
      <w:pPr>
        <w:numPr>
          <w:ilvl w:val="0"/>
          <w:numId w:val="1"/>
        </w:numPr>
        <w:spacing w:line="600" w:lineRule="exact"/>
        <w:ind w:firstLine="640" w:firstLineChars="200"/>
        <w:rPr>
          <w:rFonts w:hint="eastAsia" w:ascii="仿宋" w:hAnsi="仿宋" w:eastAsia="仿宋" w:cs="Tahoma"/>
          <w:kern w:val="0"/>
          <w:sz w:val="32"/>
          <w:szCs w:val="32"/>
        </w:rPr>
      </w:pPr>
      <w:r>
        <w:rPr>
          <w:rFonts w:hint="eastAsia" w:ascii="仿宋" w:hAnsi="仿宋" w:eastAsia="仿宋"/>
          <w:b w:val="0"/>
          <w:bCs/>
          <w:sz w:val="32"/>
          <w:szCs w:val="32"/>
        </w:rPr>
        <w:t>未发生过质量事故、较大及以上安全事故。</w:t>
      </w:r>
    </w:p>
    <w:p>
      <w:pPr>
        <w:numPr>
          <w:ilvl w:val="0"/>
          <w:numId w:val="0"/>
        </w:numPr>
        <w:spacing w:line="600" w:lineRule="exact"/>
        <w:ind w:firstLine="643" w:firstLineChars="200"/>
        <w:rPr>
          <w:rFonts w:hint="eastAsia" w:ascii="仿宋" w:hAnsi="仿宋" w:eastAsia="仿宋"/>
          <w:b w:val="0"/>
          <w:bCs/>
          <w:sz w:val="32"/>
          <w:szCs w:val="32"/>
        </w:rPr>
      </w:pPr>
      <w:r>
        <w:rPr>
          <w:rFonts w:hint="eastAsia" w:ascii="仿宋" w:hAnsi="仿宋" w:eastAsia="仿宋"/>
          <w:b/>
          <w:sz w:val="32"/>
          <w:szCs w:val="32"/>
        </w:rPr>
        <w:t>第</w:t>
      </w:r>
      <w:r>
        <w:rPr>
          <w:rFonts w:hint="eastAsia" w:ascii="仿宋" w:hAnsi="仿宋" w:eastAsia="仿宋"/>
          <w:b/>
          <w:sz w:val="32"/>
          <w:szCs w:val="32"/>
          <w:lang w:val="en-US" w:eastAsia="zh-CN"/>
        </w:rPr>
        <w:t>七</w:t>
      </w:r>
      <w:r>
        <w:rPr>
          <w:rFonts w:hint="eastAsia" w:ascii="仿宋" w:hAnsi="仿宋" w:eastAsia="仿宋"/>
          <w:b/>
          <w:sz w:val="32"/>
          <w:szCs w:val="32"/>
        </w:rPr>
        <w:t xml:space="preserve">条 </w:t>
      </w:r>
      <w:r>
        <w:rPr>
          <w:rFonts w:hint="eastAsia" w:ascii="仿宋" w:hAnsi="仿宋" w:eastAsia="仿宋"/>
          <w:b w:val="0"/>
          <w:bCs/>
          <w:sz w:val="32"/>
          <w:szCs w:val="32"/>
        </w:rPr>
        <w:t xml:space="preserve"> 优质工程奖的项目质量水平应达到省内领先水平。</w:t>
      </w:r>
    </w:p>
    <w:p>
      <w:pPr>
        <w:tabs>
          <w:tab w:val="left" w:pos="5580"/>
          <w:tab w:val="left" w:pos="6480"/>
        </w:tabs>
        <w:spacing w:line="440" w:lineRule="exact"/>
        <w:ind w:right="63" w:rightChars="30"/>
        <w:jc w:val="center"/>
        <w:rPr>
          <w:rFonts w:hint="eastAsia" w:ascii="仿宋_GB2312" w:hAnsi="华文中宋" w:eastAsia="仿宋_GB2312"/>
          <w:b/>
          <w:sz w:val="32"/>
          <w:szCs w:val="32"/>
        </w:rPr>
      </w:pPr>
    </w:p>
    <w:p>
      <w:pPr>
        <w:tabs>
          <w:tab w:val="left" w:pos="5580"/>
          <w:tab w:val="left" w:pos="6480"/>
          <w:tab w:val="left" w:pos="7740"/>
        </w:tabs>
        <w:spacing w:line="420" w:lineRule="exact"/>
        <w:ind w:right="84" w:rightChars="40"/>
        <w:jc w:val="center"/>
        <w:rPr>
          <w:rFonts w:hint="eastAsia" w:ascii="仿宋" w:hAnsi="仿宋" w:eastAsia="仿宋"/>
          <w:b/>
          <w:bCs/>
          <w:sz w:val="32"/>
          <w:szCs w:val="32"/>
        </w:rPr>
      </w:pPr>
      <w:r>
        <w:rPr>
          <w:rFonts w:hint="eastAsia" w:ascii="仿宋" w:hAnsi="仿宋" w:eastAsia="仿宋"/>
          <w:b/>
          <w:bCs/>
          <w:sz w:val="32"/>
          <w:szCs w:val="32"/>
        </w:rPr>
        <w:t>第三章  申报条件</w:t>
      </w:r>
    </w:p>
    <w:p>
      <w:pPr>
        <w:tabs>
          <w:tab w:val="left" w:pos="5580"/>
          <w:tab w:val="left" w:pos="6480"/>
        </w:tabs>
        <w:spacing w:line="440" w:lineRule="exact"/>
        <w:ind w:right="63" w:rightChars="30"/>
        <w:jc w:val="center"/>
        <w:rPr>
          <w:rFonts w:hint="eastAsia" w:ascii="仿宋_GB2312" w:hAnsi="华文中宋" w:eastAsia="仿宋_GB2312"/>
          <w:b/>
          <w:sz w:val="32"/>
          <w:szCs w:val="32"/>
        </w:rPr>
      </w:pPr>
    </w:p>
    <w:p>
      <w:pPr>
        <w:numPr>
          <w:ilvl w:val="0"/>
          <w:numId w:val="0"/>
        </w:numPr>
        <w:spacing w:line="600" w:lineRule="exact"/>
        <w:ind w:firstLine="643" w:firstLineChars="200"/>
        <w:rPr>
          <w:rFonts w:hint="eastAsia" w:ascii="仿宋" w:hAnsi="仿宋" w:eastAsia="仿宋"/>
          <w:sz w:val="32"/>
          <w:szCs w:val="32"/>
        </w:rPr>
      </w:pPr>
      <w:r>
        <w:rPr>
          <w:rFonts w:hint="eastAsia" w:ascii="仿宋" w:hAnsi="仿宋" w:eastAsia="仿宋"/>
          <w:b/>
          <w:sz w:val="32"/>
          <w:szCs w:val="32"/>
        </w:rPr>
        <w:t>第</w:t>
      </w:r>
      <w:r>
        <w:rPr>
          <w:rFonts w:hint="eastAsia" w:ascii="仿宋" w:hAnsi="仿宋" w:eastAsia="仿宋"/>
          <w:b/>
          <w:sz w:val="32"/>
          <w:szCs w:val="32"/>
          <w:lang w:val="en-US" w:eastAsia="zh-CN"/>
        </w:rPr>
        <w:t>八</w:t>
      </w:r>
      <w:r>
        <w:rPr>
          <w:rFonts w:hint="eastAsia" w:ascii="仿宋" w:hAnsi="仿宋" w:eastAsia="仿宋"/>
          <w:b/>
          <w:sz w:val="32"/>
          <w:szCs w:val="32"/>
        </w:rPr>
        <w:t>条</w:t>
      </w:r>
      <w:r>
        <w:rPr>
          <w:rFonts w:hint="eastAsia" w:ascii="仿宋" w:hAnsi="仿宋" w:eastAsia="仿宋"/>
          <w:sz w:val="32"/>
          <w:szCs w:val="32"/>
        </w:rPr>
        <w:t xml:space="preserve">  申报工程必须已列入国家、省或地方公路、水运建设计划，交工验收满二年，交工验收质量评分不低于90分（申报时已超过两年的项目需要同时提交近期内检测机构出具的检测报告），质量监督机构的质量鉴定（检测报告基本评价）不低于90分，竣工验收的质量必须达到优良。</w:t>
      </w:r>
    </w:p>
    <w:p>
      <w:pPr>
        <w:numPr>
          <w:ilvl w:val="0"/>
          <w:numId w:val="0"/>
        </w:numPr>
        <w:spacing w:line="600" w:lineRule="exact"/>
        <w:ind w:firstLine="643" w:firstLineChars="200"/>
        <w:rPr>
          <w:rFonts w:hint="eastAsia" w:ascii="仿宋" w:hAnsi="仿宋" w:eastAsia="仿宋"/>
          <w:sz w:val="32"/>
          <w:szCs w:val="32"/>
        </w:rPr>
      </w:pPr>
      <w:r>
        <w:rPr>
          <w:rFonts w:hint="eastAsia" w:ascii="仿宋" w:hAnsi="仿宋" w:eastAsia="仿宋"/>
          <w:b/>
          <w:sz w:val="32"/>
          <w:szCs w:val="32"/>
        </w:rPr>
        <w:t>第</w:t>
      </w:r>
      <w:r>
        <w:rPr>
          <w:rFonts w:hint="eastAsia" w:ascii="仿宋" w:hAnsi="仿宋" w:eastAsia="仿宋"/>
          <w:b/>
          <w:sz w:val="32"/>
          <w:szCs w:val="32"/>
          <w:lang w:val="en-US" w:eastAsia="zh-CN"/>
        </w:rPr>
        <w:t>九</w:t>
      </w:r>
      <w:r>
        <w:rPr>
          <w:rFonts w:hint="eastAsia" w:ascii="仿宋" w:hAnsi="仿宋" w:eastAsia="仿宋"/>
          <w:b/>
          <w:sz w:val="32"/>
          <w:szCs w:val="32"/>
        </w:rPr>
        <w:t>条</w:t>
      </w:r>
      <w:r>
        <w:rPr>
          <w:rFonts w:hint="eastAsia" w:ascii="仿宋" w:hAnsi="仿宋" w:eastAsia="仿宋"/>
          <w:sz w:val="32"/>
          <w:szCs w:val="32"/>
        </w:rPr>
        <w:t xml:space="preserve">  自竣工验收至申报时限不超过三年。</w:t>
      </w:r>
    </w:p>
    <w:p>
      <w:pPr>
        <w:spacing w:line="600" w:lineRule="exact"/>
        <w:ind w:firstLine="643" w:firstLineChars="200"/>
        <w:rPr>
          <w:rFonts w:hint="eastAsia" w:ascii="仿宋" w:hAnsi="仿宋" w:eastAsia="仿宋"/>
          <w:sz w:val="32"/>
          <w:szCs w:val="32"/>
        </w:rPr>
      </w:pPr>
      <w:r>
        <w:rPr>
          <w:rFonts w:hint="eastAsia" w:ascii="仿宋" w:hAnsi="仿宋" w:eastAsia="仿宋"/>
          <w:b/>
          <w:bCs/>
          <w:sz w:val="32"/>
          <w:szCs w:val="32"/>
        </w:rPr>
        <w:t>第十条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公路建设工程应满足如下条件之一：</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（一）特大桥梁工程；</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（二）长大隧道工程；</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（三）投资一亿元以上互通立交工程；</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（四）20公里以上的高速公路或一级公路新建、改建工程；</w:t>
      </w:r>
    </w:p>
    <w:p>
      <w:pPr>
        <w:numPr>
          <w:ilvl w:val="0"/>
          <w:numId w:val="2"/>
        </w:num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国省道20公里以上的二级公路新建、改建工程；</w:t>
      </w:r>
    </w:p>
    <w:p>
      <w:pPr>
        <w:numPr>
          <w:ilvl w:val="0"/>
          <w:numId w:val="2"/>
        </w:num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农村公路10公里以上</w:t>
      </w:r>
      <w:r>
        <w:rPr>
          <w:rFonts w:hint="eastAsia" w:ascii="仿宋" w:hAnsi="仿宋" w:eastAsia="仿宋"/>
          <w:sz w:val="32"/>
          <w:szCs w:val="32"/>
          <w:lang w:val="en-US" w:eastAsia="zh-CN"/>
        </w:rPr>
        <w:t>或</w:t>
      </w:r>
      <w:r>
        <w:rPr>
          <w:rFonts w:hint="eastAsia" w:ascii="仿宋" w:hAnsi="仿宋" w:eastAsia="仿宋"/>
          <w:sz w:val="32"/>
          <w:szCs w:val="32"/>
        </w:rPr>
        <w:t>投资3000万元以上的新建、改建工程。</w:t>
      </w:r>
    </w:p>
    <w:p>
      <w:pPr>
        <w:numPr>
          <w:ilvl w:val="0"/>
          <w:numId w:val="2"/>
        </w:num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由市、县级交通部门</w:t>
      </w:r>
      <w:r>
        <w:rPr>
          <w:rFonts w:hint="eastAsia" w:ascii="仿宋" w:hAnsi="仿宋" w:eastAsia="仿宋"/>
          <w:sz w:val="32"/>
          <w:szCs w:val="32"/>
          <w:lang w:val="en-US" w:eastAsia="zh-CN"/>
        </w:rPr>
        <w:t>组织</w:t>
      </w:r>
      <w:r>
        <w:rPr>
          <w:rFonts w:hint="eastAsia" w:ascii="仿宋" w:hAnsi="仿宋" w:eastAsia="仿宋"/>
          <w:sz w:val="32"/>
          <w:szCs w:val="32"/>
        </w:rPr>
        <w:t>建设的城市道路、桥梁</w:t>
      </w:r>
      <w:r>
        <w:rPr>
          <w:rFonts w:hint="eastAsia" w:ascii="仿宋" w:hAnsi="仿宋" w:eastAsia="仿宋"/>
          <w:sz w:val="32"/>
          <w:szCs w:val="32"/>
          <w:lang w:val="en-US" w:eastAsia="zh-CN"/>
        </w:rPr>
        <w:t>工程</w:t>
      </w:r>
      <w:r>
        <w:rPr>
          <w:rFonts w:hint="eastAsia" w:ascii="仿宋" w:hAnsi="仿宋" w:eastAsia="仿宋"/>
          <w:sz w:val="32"/>
          <w:szCs w:val="32"/>
        </w:rPr>
        <w:t>可参照“黄山杯”评选办法中市政工程</w:t>
      </w:r>
      <w:r>
        <w:rPr>
          <w:rFonts w:hint="eastAsia" w:ascii="仿宋" w:hAnsi="仿宋" w:eastAsia="仿宋"/>
          <w:sz w:val="32"/>
          <w:szCs w:val="32"/>
          <w:highlight w:val="none"/>
        </w:rPr>
        <w:t>道路、桥梁</w:t>
      </w:r>
      <w:r>
        <w:rPr>
          <w:rFonts w:hint="eastAsia" w:ascii="仿宋" w:hAnsi="仿宋" w:eastAsia="仿宋"/>
          <w:sz w:val="32"/>
          <w:szCs w:val="32"/>
        </w:rPr>
        <w:t>标准申报。</w:t>
      </w:r>
    </w:p>
    <w:p>
      <w:pPr>
        <w:spacing w:line="600" w:lineRule="exact"/>
        <w:ind w:firstLine="482" w:firstLineChars="150"/>
        <w:rPr>
          <w:rFonts w:hint="eastAsia" w:ascii="仿宋" w:hAnsi="仿宋" w:eastAsia="仿宋"/>
          <w:sz w:val="32"/>
          <w:szCs w:val="32"/>
        </w:rPr>
      </w:pPr>
      <w:r>
        <w:rPr>
          <w:rFonts w:hint="eastAsia" w:ascii="仿宋" w:hAnsi="仿宋" w:eastAsia="仿宋"/>
          <w:b/>
          <w:bCs/>
          <w:sz w:val="32"/>
          <w:szCs w:val="32"/>
        </w:rPr>
        <w:t>第十一条</w:t>
      </w:r>
      <w:r>
        <w:rPr>
          <w:rFonts w:hint="eastAsia" w:ascii="仿宋" w:hAnsi="仿宋" w:eastAsia="仿宋"/>
          <w:sz w:val="32"/>
          <w:szCs w:val="32"/>
        </w:rPr>
        <w:t xml:space="preserve"> 水运建设工程应满足如下条件之一：</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（一）投资5000万元以上的内河工程项目</w:t>
      </w:r>
      <w:r>
        <w:rPr>
          <w:rFonts w:hint="eastAsia" w:ascii="仿宋" w:hAnsi="仿宋" w:eastAsia="仿宋"/>
          <w:sz w:val="32"/>
          <w:szCs w:val="32"/>
          <w:lang w:val="en-US" w:eastAsia="zh-CN"/>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（二）500吨级及以上的港口工程项目；</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（三）10公里Ⅳ级及以上的内河航道整治工程项目；</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（四）Ⅳ级及以上航道的枢纽及通航建筑物主体工程项目；</w:t>
      </w:r>
    </w:p>
    <w:p>
      <w:pPr>
        <w:spacing w:line="600" w:lineRule="exact"/>
        <w:ind w:firstLine="640" w:firstLineChars="200"/>
        <w:rPr>
          <w:rFonts w:hint="eastAsia" w:ascii="仿宋" w:hAnsi="仿宋" w:eastAsia="仿宋"/>
          <w:b/>
          <w:sz w:val="32"/>
          <w:szCs w:val="32"/>
        </w:rPr>
      </w:pPr>
      <w:r>
        <w:rPr>
          <w:rFonts w:hint="eastAsia" w:ascii="仿宋" w:hAnsi="仿宋" w:eastAsia="仿宋"/>
          <w:sz w:val="32"/>
          <w:szCs w:val="32"/>
        </w:rPr>
        <w:t>（五）千吨级以上的船坞、船台和滑道工程项目。</w:t>
      </w:r>
    </w:p>
    <w:p>
      <w:pPr>
        <w:tabs>
          <w:tab w:val="left" w:pos="5580"/>
          <w:tab w:val="left" w:pos="6480"/>
        </w:tabs>
        <w:spacing w:line="440" w:lineRule="exact"/>
        <w:ind w:right="63" w:rightChars="30"/>
        <w:jc w:val="center"/>
        <w:rPr>
          <w:rFonts w:hint="eastAsia" w:ascii="仿宋_GB2312" w:hAnsi="华文中宋" w:eastAsia="仿宋_GB2312"/>
          <w:b/>
          <w:sz w:val="30"/>
          <w:szCs w:val="30"/>
        </w:rPr>
      </w:pPr>
    </w:p>
    <w:p>
      <w:pPr>
        <w:tabs>
          <w:tab w:val="left" w:pos="5580"/>
          <w:tab w:val="left" w:pos="6480"/>
        </w:tabs>
        <w:spacing w:line="440" w:lineRule="exact"/>
        <w:ind w:right="63" w:rightChars="30"/>
        <w:jc w:val="center"/>
        <w:rPr>
          <w:rFonts w:hint="eastAsia" w:ascii="仿宋_GB2312" w:hAnsi="华文中宋" w:eastAsia="仿宋_GB2312"/>
          <w:b/>
          <w:sz w:val="30"/>
          <w:szCs w:val="30"/>
        </w:rPr>
      </w:pPr>
      <w:r>
        <w:rPr>
          <w:rFonts w:hint="eastAsia" w:ascii="仿宋" w:hAnsi="仿宋" w:eastAsia="仿宋"/>
          <w:b/>
          <w:bCs/>
          <w:sz w:val="32"/>
          <w:szCs w:val="32"/>
        </w:rPr>
        <w:t>第四章  申报要求</w:t>
      </w:r>
    </w:p>
    <w:p>
      <w:pPr>
        <w:tabs>
          <w:tab w:val="left" w:pos="5580"/>
          <w:tab w:val="left" w:pos="6480"/>
        </w:tabs>
        <w:spacing w:line="440" w:lineRule="exact"/>
        <w:ind w:right="63" w:rightChars="30"/>
        <w:jc w:val="center"/>
        <w:rPr>
          <w:rFonts w:hint="eastAsia" w:ascii="仿宋_GB2312" w:hAnsi="华文中宋" w:eastAsia="仿宋_GB2312"/>
          <w:b/>
          <w:sz w:val="30"/>
          <w:szCs w:val="30"/>
        </w:rPr>
      </w:pPr>
    </w:p>
    <w:p>
      <w:pPr>
        <w:spacing w:line="600" w:lineRule="exact"/>
        <w:ind w:firstLine="643" w:firstLineChars="200"/>
        <w:rPr>
          <w:rFonts w:hint="eastAsia" w:ascii="仿宋" w:hAnsi="仿宋" w:eastAsia="仿宋"/>
          <w:sz w:val="32"/>
          <w:szCs w:val="32"/>
        </w:rPr>
      </w:pPr>
      <w:r>
        <w:rPr>
          <w:rFonts w:hint="eastAsia" w:ascii="仿宋" w:hAnsi="仿宋" w:eastAsia="仿宋"/>
          <w:b/>
          <w:bCs/>
          <w:sz w:val="32"/>
          <w:szCs w:val="32"/>
        </w:rPr>
        <w:t>第十二条</w:t>
      </w:r>
      <w:r>
        <w:rPr>
          <w:rFonts w:hint="eastAsia" w:ascii="仿宋" w:hAnsi="仿宋" w:eastAsia="仿宋"/>
          <w:sz w:val="32"/>
          <w:szCs w:val="32"/>
        </w:rPr>
        <w:t xml:space="preserve"> 申报材料需经市级以上行业或项目主管部门审核并提出推荐意见。</w:t>
      </w:r>
    </w:p>
    <w:p>
      <w:pPr>
        <w:spacing w:line="600" w:lineRule="exact"/>
        <w:ind w:firstLine="643" w:firstLineChars="200"/>
        <w:rPr>
          <w:rFonts w:hint="eastAsia" w:ascii="仿宋" w:hAnsi="仿宋" w:eastAsia="仿宋"/>
          <w:sz w:val="32"/>
          <w:szCs w:val="32"/>
        </w:rPr>
      </w:pPr>
      <w:r>
        <w:rPr>
          <w:rFonts w:hint="eastAsia" w:ascii="仿宋" w:hAnsi="仿宋" w:eastAsia="仿宋" w:cs="Tahoma"/>
          <w:b/>
          <w:bCs/>
          <w:kern w:val="0"/>
          <w:sz w:val="32"/>
          <w:szCs w:val="32"/>
        </w:rPr>
        <w:t>第十三条</w:t>
      </w:r>
      <w:r>
        <w:rPr>
          <w:rFonts w:hint="eastAsia" w:ascii="仿宋" w:hAnsi="仿宋" w:eastAsia="仿宋" w:cs="Tahoma"/>
          <w:kern w:val="0"/>
          <w:sz w:val="32"/>
          <w:szCs w:val="32"/>
        </w:rPr>
        <w:t xml:space="preserve"> 申报材料包括：</w:t>
      </w:r>
    </w:p>
    <w:p>
      <w:pPr>
        <w:widowControl/>
        <w:spacing w:line="60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（一）《安徽交通优质工程奖申报表》(见附表)；</w:t>
      </w:r>
    </w:p>
    <w:p>
      <w:pPr>
        <w:widowControl/>
        <w:spacing w:line="60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（二）项目工程竣工验收鉴定书,交、竣工验收质量鉴定（检测）报告；</w:t>
      </w:r>
    </w:p>
    <w:p>
      <w:pPr>
        <w:widowControl/>
        <w:spacing w:line="60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（三）项目建设视频短片，内容包括项目概况、建设程序、质量管控、安全生产、绿色环保、科技创新成果等（时间不超过8分钟）；</w:t>
      </w:r>
    </w:p>
    <w:p>
      <w:pPr>
        <w:widowControl/>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（四）项目建设执行报告；</w:t>
      </w:r>
    </w:p>
    <w:p>
      <w:pPr>
        <w:widowControl/>
        <w:spacing w:line="60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（五）质量监督机构对项目质量评价；</w:t>
      </w:r>
    </w:p>
    <w:p>
      <w:pPr>
        <w:widowControl/>
        <w:spacing w:line="600" w:lineRule="exact"/>
        <w:ind w:firstLine="640" w:firstLineChars="200"/>
        <w:jc w:val="left"/>
        <w:rPr>
          <w:rFonts w:hint="eastAsia" w:ascii="仿宋" w:hAnsi="仿宋" w:eastAsia="仿宋" w:cs="Tahoma"/>
          <w:kern w:val="0"/>
          <w:sz w:val="32"/>
          <w:szCs w:val="32"/>
        </w:rPr>
      </w:pPr>
      <w:r>
        <w:rPr>
          <w:rFonts w:hint="eastAsia" w:ascii="仿宋" w:hAnsi="仿宋" w:eastAsia="仿宋"/>
          <w:sz w:val="32"/>
          <w:szCs w:val="32"/>
        </w:rPr>
        <w:t>（六）项目审计报告或单位出据资金执行情况的说明（单位的文字说明并加盖公章）；</w:t>
      </w:r>
    </w:p>
    <w:p>
      <w:pPr>
        <w:widowControl/>
        <w:spacing w:line="600" w:lineRule="exact"/>
        <w:ind w:firstLine="640" w:firstLineChars="200"/>
        <w:jc w:val="left"/>
        <w:rPr>
          <w:rFonts w:hint="eastAsia" w:ascii="仿宋" w:hAnsi="仿宋" w:eastAsia="仿宋" w:cs="Tahoma"/>
          <w:kern w:val="0"/>
          <w:sz w:val="32"/>
          <w:szCs w:val="32"/>
          <w:lang w:eastAsia="zh-CN"/>
        </w:rPr>
      </w:pPr>
      <w:r>
        <w:rPr>
          <w:rFonts w:hint="eastAsia" w:ascii="仿宋" w:hAnsi="仿宋" w:eastAsia="仿宋" w:cs="Tahoma"/>
          <w:kern w:val="0"/>
          <w:sz w:val="32"/>
          <w:szCs w:val="32"/>
        </w:rPr>
        <w:t>（七）其它获奖项证明材料复印件</w:t>
      </w:r>
      <w:r>
        <w:rPr>
          <w:rFonts w:hint="eastAsia" w:ascii="仿宋" w:hAnsi="仿宋" w:eastAsia="仿宋" w:cs="Tahoma"/>
          <w:kern w:val="0"/>
          <w:sz w:val="32"/>
          <w:szCs w:val="32"/>
          <w:lang w:val="en-US" w:eastAsia="zh-CN"/>
        </w:rPr>
        <w:t>；</w:t>
      </w:r>
    </w:p>
    <w:p>
      <w:pPr>
        <w:widowControl/>
        <w:spacing w:line="60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（八）业主单位推荐拟获奖单位</w:t>
      </w:r>
      <w:r>
        <w:rPr>
          <w:rFonts w:hint="eastAsia" w:ascii="仿宋" w:hAnsi="仿宋" w:eastAsia="仿宋" w:cs="Tahoma"/>
          <w:kern w:val="0"/>
          <w:sz w:val="32"/>
          <w:szCs w:val="32"/>
          <w:lang w:eastAsia="zh-CN"/>
        </w:rPr>
        <w:t>（</w:t>
      </w:r>
      <w:r>
        <w:rPr>
          <w:rFonts w:hint="eastAsia" w:ascii="仿宋" w:hAnsi="仿宋" w:eastAsia="仿宋" w:cs="Tahoma"/>
          <w:kern w:val="0"/>
          <w:sz w:val="32"/>
          <w:szCs w:val="32"/>
        </w:rPr>
        <w:t>承担的主要任务和业绩</w:t>
      </w:r>
      <w:r>
        <w:rPr>
          <w:rFonts w:hint="eastAsia" w:ascii="仿宋" w:hAnsi="仿宋" w:eastAsia="仿宋" w:cs="Tahoma"/>
          <w:kern w:val="0"/>
          <w:sz w:val="32"/>
          <w:szCs w:val="32"/>
          <w:lang w:eastAsia="zh-CN"/>
        </w:rPr>
        <w:t>）</w:t>
      </w:r>
      <w:r>
        <w:rPr>
          <w:rFonts w:hint="eastAsia" w:ascii="仿宋" w:hAnsi="仿宋" w:eastAsia="仿宋" w:cs="Tahoma"/>
          <w:kern w:val="0"/>
          <w:sz w:val="32"/>
          <w:szCs w:val="32"/>
        </w:rPr>
        <w:t>，根据工程规模一般不超过7家，（含设计、监理单位）。特大项目、高速公路酌情确定。</w:t>
      </w:r>
    </w:p>
    <w:p>
      <w:pPr>
        <w:widowControl/>
        <w:spacing w:line="600" w:lineRule="exact"/>
        <w:ind w:firstLine="643" w:firstLineChars="200"/>
        <w:jc w:val="left"/>
        <w:rPr>
          <w:rFonts w:hint="eastAsia" w:ascii="仿宋" w:hAnsi="仿宋" w:eastAsia="仿宋" w:cs="Tahoma"/>
          <w:kern w:val="0"/>
          <w:sz w:val="32"/>
          <w:szCs w:val="32"/>
        </w:rPr>
      </w:pPr>
      <w:r>
        <w:rPr>
          <w:rFonts w:hint="eastAsia" w:ascii="仿宋" w:hAnsi="仿宋" w:eastAsia="仿宋" w:cs="Tahoma"/>
          <w:b/>
          <w:bCs/>
          <w:kern w:val="0"/>
          <w:sz w:val="32"/>
          <w:szCs w:val="32"/>
        </w:rPr>
        <w:t>第十四条</w:t>
      </w:r>
      <w:r>
        <w:rPr>
          <w:rFonts w:hint="eastAsia" w:ascii="Tahoma" w:hAnsi="Tahoma" w:eastAsia="仿宋" w:cs="Tahoma"/>
          <w:b/>
          <w:bCs/>
          <w:kern w:val="0"/>
          <w:sz w:val="32"/>
          <w:szCs w:val="32"/>
        </w:rPr>
        <w:t> </w:t>
      </w:r>
      <w:r>
        <w:rPr>
          <w:rFonts w:hint="eastAsia" w:ascii="仿宋" w:hAnsi="仿宋" w:eastAsia="仿宋" w:cs="Tahoma"/>
          <w:b/>
          <w:bCs/>
          <w:kern w:val="0"/>
          <w:sz w:val="32"/>
          <w:szCs w:val="32"/>
        </w:rPr>
        <w:t xml:space="preserve"> </w:t>
      </w:r>
      <w:r>
        <w:rPr>
          <w:rFonts w:hint="eastAsia" w:ascii="仿宋" w:hAnsi="仿宋" w:eastAsia="仿宋" w:cs="Tahoma"/>
          <w:kern w:val="0"/>
          <w:sz w:val="32"/>
          <w:szCs w:val="32"/>
        </w:rPr>
        <w:t>申报材料必须真实、准确，并涵盖所申报工程的全部内容。申报材料中提供的文件、证明、印章等必须清晰、齐全。申报表统一使用计算机处理，A4纸打印，装订整齐。</w:t>
      </w:r>
    </w:p>
    <w:p>
      <w:pPr>
        <w:widowControl/>
        <w:spacing w:line="600" w:lineRule="exact"/>
        <w:ind w:firstLine="643" w:firstLineChars="200"/>
        <w:jc w:val="left"/>
        <w:rPr>
          <w:rFonts w:hint="eastAsia" w:ascii="仿宋" w:hAnsi="仿宋" w:eastAsia="仿宋" w:cs="Tahoma"/>
          <w:kern w:val="0"/>
          <w:sz w:val="32"/>
          <w:szCs w:val="32"/>
        </w:rPr>
      </w:pPr>
      <w:r>
        <w:rPr>
          <w:rFonts w:hint="eastAsia" w:ascii="仿宋" w:hAnsi="仿宋" w:eastAsia="仿宋" w:cs="Tahoma"/>
          <w:b/>
          <w:bCs/>
          <w:kern w:val="0"/>
          <w:sz w:val="32"/>
          <w:szCs w:val="32"/>
        </w:rPr>
        <w:t>第十五条</w:t>
      </w:r>
      <w:r>
        <w:rPr>
          <w:rFonts w:hint="eastAsia" w:ascii="Tahoma" w:hAnsi="Tahoma" w:eastAsia="仿宋" w:cs="Tahoma"/>
          <w:kern w:val="0"/>
          <w:sz w:val="32"/>
          <w:szCs w:val="32"/>
        </w:rPr>
        <w:t> </w:t>
      </w:r>
      <w:r>
        <w:rPr>
          <w:rFonts w:hint="eastAsia" w:ascii="仿宋" w:hAnsi="仿宋" w:eastAsia="仿宋" w:cs="Tahoma"/>
          <w:kern w:val="0"/>
          <w:sz w:val="32"/>
          <w:szCs w:val="32"/>
        </w:rPr>
        <w:t xml:space="preserve"> 申报材料</w:t>
      </w:r>
      <w:r>
        <w:rPr>
          <w:rFonts w:hint="eastAsia" w:ascii="仿宋" w:hAnsi="仿宋" w:eastAsia="仿宋"/>
          <w:sz w:val="32"/>
          <w:szCs w:val="32"/>
        </w:rPr>
        <w:t>(含书面材料二份，电子版一份)</w:t>
      </w:r>
      <w:r>
        <w:rPr>
          <w:rFonts w:hint="eastAsia" w:ascii="仿宋" w:hAnsi="仿宋" w:eastAsia="仿宋" w:cs="Tahoma"/>
          <w:kern w:val="0"/>
          <w:sz w:val="32"/>
          <w:szCs w:val="32"/>
        </w:rPr>
        <w:t xml:space="preserve"> 于规定的时间前报送安徽公路建设行业协会，逾期不予受理。</w:t>
      </w:r>
    </w:p>
    <w:p>
      <w:pPr>
        <w:tabs>
          <w:tab w:val="left" w:pos="5580"/>
          <w:tab w:val="left" w:pos="6480"/>
        </w:tabs>
        <w:spacing w:line="440" w:lineRule="exact"/>
        <w:ind w:right="63" w:rightChars="30"/>
        <w:jc w:val="center"/>
        <w:rPr>
          <w:rFonts w:hint="eastAsia" w:ascii="仿宋_GB2312" w:hAnsi="华文中宋" w:eastAsia="仿宋_GB2312"/>
          <w:b/>
          <w:sz w:val="30"/>
          <w:szCs w:val="30"/>
        </w:rPr>
      </w:pPr>
    </w:p>
    <w:p>
      <w:pPr>
        <w:tabs>
          <w:tab w:val="left" w:pos="5580"/>
          <w:tab w:val="left" w:pos="6480"/>
        </w:tabs>
        <w:spacing w:line="440" w:lineRule="exact"/>
        <w:ind w:right="63" w:rightChars="30"/>
        <w:jc w:val="center"/>
        <w:rPr>
          <w:rFonts w:hint="eastAsia" w:ascii="仿宋_GB2312" w:hAnsi="华文中宋" w:eastAsia="仿宋_GB2312"/>
          <w:b/>
          <w:sz w:val="30"/>
          <w:szCs w:val="30"/>
        </w:rPr>
      </w:pPr>
      <w:r>
        <w:rPr>
          <w:rFonts w:hint="eastAsia" w:ascii="仿宋" w:hAnsi="仿宋" w:eastAsia="仿宋"/>
          <w:b/>
          <w:bCs/>
          <w:sz w:val="32"/>
          <w:szCs w:val="32"/>
        </w:rPr>
        <w:t>第五章　评审程序</w:t>
      </w:r>
    </w:p>
    <w:p>
      <w:pPr>
        <w:tabs>
          <w:tab w:val="left" w:pos="5580"/>
          <w:tab w:val="left" w:pos="6480"/>
        </w:tabs>
        <w:spacing w:line="440" w:lineRule="exact"/>
        <w:ind w:right="63" w:rightChars="30"/>
        <w:jc w:val="center"/>
        <w:rPr>
          <w:rFonts w:hint="eastAsia" w:ascii="仿宋_GB2312" w:hAnsi="华文中宋" w:eastAsia="仿宋_GB2312"/>
          <w:b/>
          <w:sz w:val="30"/>
          <w:szCs w:val="30"/>
        </w:rPr>
      </w:pPr>
    </w:p>
    <w:p>
      <w:pPr>
        <w:widowControl/>
        <w:spacing w:line="600" w:lineRule="exact"/>
        <w:ind w:firstLine="643" w:firstLineChars="200"/>
        <w:jc w:val="left"/>
        <w:rPr>
          <w:rFonts w:hint="eastAsia" w:ascii="仿宋" w:hAnsi="仿宋" w:eastAsia="仿宋" w:cs="Tahoma"/>
          <w:bCs/>
          <w:kern w:val="0"/>
          <w:sz w:val="32"/>
          <w:szCs w:val="32"/>
        </w:rPr>
      </w:pPr>
      <w:r>
        <w:rPr>
          <w:rFonts w:hint="eastAsia" w:ascii="仿宋" w:hAnsi="仿宋" w:eastAsia="仿宋" w:cs="Tahoma"/>
          <w:b/>
          <w:bCs w:val="0"/>
          <w:kern w:val="0"/>
          <w:sz w:val="32"/>
          <w:szCs w:val="32"/>
        </w:rPr>
        <w:t>第十六条</w:t>
      </w:r>
      <w:r>
        <w:rPr>
          <w:rFonts w:hint="eastAsia" w:ascii="仿宋" w:hAnsi="仿宋" w:eastAsia="仿宋" w:cs="Tahoma"/>
          <w:bCs/>
          <w:kern w:val="0"/>
          <w:sz w:val="32"/>
          <w:szCs w:val="32"/>
        </w:rPr>
        <w:t xml:space="preserve">  </w:t>
      </w:r>
      <w:r>
        <w:rPr>
          <w:rFonts w:hint="eastAsia" w:ascii="仿宋" w:hAnsi="仿宋" w:eastAsia="仿宋"/>
          <w:bCs/>
          <w:sz w:val="32"/>
          <w:szCs w:val="32"/>
        </w:rPr>
        <w:t>安徽公路建设行业协会组成安徽交通优质工程奖评审委员会，下设专业评审组，负责对申报材料的审查和现场核验。</w:t>
      </w:r>
    </w:p>
    <w:p>
      <w:pPr>
        <w:tabs>
          <w:tab w:val="left" w:pos="2340"/>
        </w:tabs>
        <w:spacing w:line="600" w:lineRule="exact"/>
        <w:ind w:firstLine="643" w:firstLineChars="200"/>
        <w:rPr>
          <w:rFonts w:hint="eastAsia" w:ascii="仿宋" w:hAnsi="仿宋" w:eastAsia="仿宋"/>
          <w:bCs/>
          <w:sz w:val="32"/>
          <w:szCs w:val="32"/>
        </w:rPr>
      </w:pPr>
      <w:r>
        <w:rPr>
          <w:rFonts w:hint="eastAsia" w:ascii="仿宋" w:hAnsi="仿宋" w:eastAsia="仿宋"/>
          <w:b/>
          <w:bCs w:val="0"/>
          <w:sz w:val="32"/>
          <w:szCs w:val="32"/>
        </w:rPr>
        <w:t xml:space="preserve">第十七条 </w:t>
      </w:r>
      <w:r>
        <w:rPr>
          <w:rFonts w:hint="eastAsia" w:ascii="仿宋" w:hAnsi="仿宋" w:eastAsia="仿宋"/>
          <w:bCs/>
          <w:sz w:val="32"/>
          <w:szCs w:val="32"/>
        </w:rPr>
        <w:t xml:space="preserve"> 评审程序如下：</w:t>
      </w:r>
    </w:p>
    <w:p>
      <w:pPr>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（一） 安徽公路建设行业协会受理申报材料，进行综合性审查，将符合要求的材料提交专业评审组；</w:t>
      </w:r>
    </w:p>
    <w:p>
      <w:pPr>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（二） 专业评审组对申报材料进行初步审查并组织专家进行现场核验，提出初评意见；</w:t>
      </w:r>
    </w:p>
    <w:p>
      <w:pPr>
        <w:tabs>
          <w:tab w:val="left" w:pos="1440"/>
        </w:tabs>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（三） 现场核验工作内容如下：</w:t>
      </w:r>
    </w:p>
    <w:p>
      <w:pPr>
        <w:tabs>
          <w:tab w:val="left" w:pos="1440"/>
        </w:tabs>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（1）听取建设单位和管理单位对工程建设情况的报告；</w:t>
      </w:r>
    </w:p>
    <w:p>
      <w:pPr>
        <w:tabs>
          <w:tab w:val="left" w:pos="1440"/>
        </w:tabs>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（2）查阅工程有关的资料；</w:t>
      </w:r>
    </w:p>
    <w:p>
      <w:pPr>
        <w:tabs>
          <w:tab w:val="left" w:pos="1440"/>
        </w:tabs>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（3）实地查验工程外观质量水平；</w:t>
      </w:r>
    </w:p>
    <w:p>
      <w:pPr>
        <w:tabs>
          <w:tab w:val="left" w:pos="1440"/>
        </w:tabs>
        <w:spacing w:line="600" w:lineRule="exact"/>
        <w:ind w:firstLine="640" w:firstLineChars="200"/>
        <w:rPr>
          <w:rFonts w:hint="eastAsia" w:ascii="仿宋" w:hAnsi="仿宋" w:eastAsia="仿宋"/>
          <w:bCs/>
          <w:sz w:val="32"/>
          <w:szCs w:val="32"/>
          <w:lang w:eastAsia="zh-CN"/>
        </w:rPr>
      </w:pPr>
      <w:r>
        <w:rPr>
          <w:rFonts w:hint="eastAsia" w:ascii="仿宋" w:hAnsi="仿宋" w:eastAsia="仿宋"/>
          <w:bCs/>
          <w:sz w:val="32"/>
          <w:szCs w:val="32"/>
        </w:rPr>
        <w:t>（4）提交书面核验报告和推荐意见</w:t>
      </w:r>
      <w:r>
        <w:rPr>
          <w:rFonts w:hint="eastAsia" w:ascii="仿宋" w:hAnsi="仿宋" w:eastAsia="仿宋"/>
          <w:bCs/>
          <w:sz w:val="32"/>
          <w:szCs w:val="32"/>
          <w:lang w:val="en-US" w:eastAsia="zh-CN"/>
        </w:rPr>
        <w:t>；</w:t>
      </w:r>
    </w:p>
    <w:p>
      <w:pPr>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（四</w:t>
      </w:r>
      <w:r>
        <w:rPr>
          <w:rFonts w:hint="eastAsia" w:ascii="仿宋" w:hAnsi="仿宋" w:eastAsia="仿宋"/>
          <w:bCs/>
          <w:sz w:val="32"/>
          <w:szCs w:val="32"/>
          <w:lang w:eastAsia="zh-CN"/>
        </w:rPr>
        <w:t>）</w:t>
      </w:r>
      <w:r>
        <w:rPr>
          <w:rFonts w:hint="eastAsia" w:ascii="仿宋" w:hAnsi="仿宋" w:eastAsia="仿宋"/>
          <w:bCs/>
          <w:sz w:val="32"/>
          <w:szCs w:val="32"/>
        </w:rPr>
        <w:t>汇总初评意见，提交评审委员会；</w:t>
      </w:r>
    </w:p>
    <w:p>
      <w:pPr>
        <w:spacing w:line="600" w:lineRule="exact"/>
        <w:ind w:firstLine="640" w:firstLineChars="200"/>
        <w:rPr>
          <w:rFonts w:hint="eastAsia" w:ascii="仿宋" w:hAnsi="仿宋" w:eastAsia="仿宋" w:cs="Tahoma"/>
          <w:bCs/>
          <w:kern w:val="0"/>
          <w:sz w:val="32"/>
          <w:szCs w:val="32"/>
        </w:rPr>
      </w:pPr>
      <w:r>
        <w:rPr>
          <w:rFonts w:hint="eastAsia" w:ascii="仿宋" w:hAnsi="仿宋" w:eastAsia="仿宋"/>
          <w:bCs/>
          <w:sz w:val="32"/>
          <w:szCs w:val="32"/>
        </w:rPr>
        <w:t>（五）</w:t>
      </w:r>
      <w:r>
        <w:rPr>
          <w:rFonts w:hint="eastAsia" w:ascii="仿宋" w:hAnsi="仿宋" w:eastAsia="仿宋" w:cs="Tahoma"/>
          <w:bCs/>
          <w:kern w:val="0"/>
          <w:sz w:val="32"/>
          <w:szCs w:val="32"/>
        </w:rPr>
        <w:t>评审委员会采取无记名投票表决的方式进行综合评审，</w:t>
      </w:r>
    </w:p>
    <w:p>
      <w:pPr>
        <w:spacing w:line="600" w:lineRule="exact"/>
        <w:rPr>
          <w:rFonts w:hint="eastAsia" w:ascii="仿宋" w:hAnsi="仿宋" w:eastAsia="仿宋"/>
          <w:bCs/>
          <w:sz w:val="32"/>
          <w:szCs w:val="32"/>
        </w:rPr>
      </w:pPr>
      <w:r>
        <w:rPr>
          <w:rFonts w:hint="eastAsia" w:ascii="仿宋" w:hAnsi="仿宋" w:eastAsia="仿宋" w:cs="Tahoma"/>
          <w:bCs/>
          <w:kern w:val="0"/>
          <w:sz w:val="32"/>
          <w:szCs w:val="32"/>
        </w:rPr>
        <w:t>获奖项目必须得到</w:t>
      </w:r>
      <w:r>
        <w:rPr>
          <w:rFonts w:hint="eastAsia" w:ascii="仿宋" w:hAnsi="仿宋" w:eastAsia="仿宋" w:cs="Tahoma"/>
          <w:bCs/>
          <w:kern w:val="0"/>
          <w:sz w:val="32"/>
          <w:szCs w:val="32"/>
          <w:lang w:val="en-US" w:eastAsia="zh-CN"/>
        </w:rPr>
        <w:t>评审委员会</w:t>
      </w:r>
      <w:r>
        <w:rPr>
          <w:rFonts w:hint="eastAsia" w:ascii="仿宋" w:hAnsi="仿宋" w:eastAsia="仿宋" w:cs="Tahoma"/>
          <w:bCs/>
          <w:kern w:val="0"/>
          <w:sz w:val="32"/>
          <w:szCs w:val="32"/>
        </w:rPr>
        <w:t>的2/3（含）以上通过；</w:t>
      </w:r>
    </w:p>
    <w:p>
      <w:pPr>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（六） 获奖项目将在安徽省交通运输厅网站、安徽公路行业</w:t>
      </w:r>
    </w:p>
    <w:p>
      <w:pPr>
        <w:spacing w:line="600" w:lineRule="exact"/>
        <w:ind w:firstLine="640" w:firstLineChars="200"/>
        <w:rPr>
          <w:rFonts w:hint="eastAsia" w:ascii="仿宋" w:hAnsi="仿宋" w:eastAsia="仿宋"/>
          <w:bCs/>
          <w:sz w:val="32"/>
          <w:szCs w:val="32"/>
        </w:rPr>
      </w:pPr>
    </w:p>
    <w:p>
      <w:pPr>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协会网站进行公示（公示时间七天）公示期满无异议后，报省交通运输厅审核备案；</w:t>
      </w:r>
    </w:p>
    <w:p>
      <w:pPr>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（七） 公布获奖项目。</w:t>
      </w:r>
    </w:p>
    <w:p>
      <w:pPr>
        <w:tabs>
          <w:tab w:val="left" w:pos="5580"/>
          <w:tab w:val="left" w:pos="6480"/>
        </w:tabs>
        <w:spacing w:line="440" w:lineRule="exact"/>
        <w:ind w:right="63" w:rightChars="30"/>
        <w:jc w:val="center"/>
        <w:rPr>
          <w:rFonts w:hint="eastAsia" w:ascii="仿宋_GB2312" w:hAnsi="华文中宋" w:eastAsia="仿宋_GB2312"/>
          <w:b/>
          <w:sz w:val="30"/>
          <w:szCs w:val="30"/>
        </w:rPr>
      </w:pPr>
    </w:p>
    <w:p>
      <w:pPr>
        <w:tabs>
          <w:tab w:val="left" w:pos="5580"/>
          <w:tab w:val="left" w:pos="6480"/>
          <w:tab w:val="left" w:pos="7740"/>
        </w:tabs>
        <w:spacing w:line="420" w:lineRule="exact"/>
        <w:ind w:right="84" w:rightChars="40"/>
        <w:jc w:val="center"/>
        <w:rPr>
          <w:rFonts w:hint="eastAsia" w:ascii="仿宋" w:hAnsi="仿宋" w:eastAsia="仿宋"/>
          <w:b/>
          <w:bCs/>
          <w:sz w:val="32"/>
          <w:szCs w:val="32"/>
        </w:rPr>
      </w:pPr>
      <w:r>
        <w:rPr>
          <w:rFonts w:hint="eastAsia" w:ascii="仿宋" w:hAnsi="仿宋" w:eastAsia="仿宋"/>
          <w:b/>
          <w:bCs/>
          <w:sz w:val="32"/>
          <w:szCs w:val="32"/>
        </w:rPr>
        <w:t>第六章  奖 惩</w:t>
      </w:r>
    </w:p>
    <w:p>
      <w:pPr>
        <w:tabs>
          <w:tab w:val="left" w:pos="5580"/>
          <w:tab w:val="left" w:pos="6480"/>
          <w:tab w:val="left" w:pos="7740"/>
        </w:tabs>
        <w:spacing w:line="420" w:lineRule="exact"/>
        <w:ind w:right="84" w:rightChars="40"/>
        <w:jc w:val="center"/>
        <w:rPr>
          <w:rFonts w:hint="eastAsia" w:ascii="仿宋" w:hAnsi="仿宋" w:eastAsia="仿宋"/>
          <w:b/>
          <w:bCs/>
          <w:sz w:val="32"/>
          <w:szCs w:val="32"/>
        </w:rPr>
      </w:pPr>
    </w:p>
    <w:p>
      <w:pPr>
        <w:tabs>
          <w:tab w:val="left" w:pos="2340"/>
        </w:tabs>
        <w:spacing w:line="600" w:lineRule="exact"/>
        <w:ind w:firstLine="643" w:firstLineChars="200"/>
        <w:rPr>
          <w:rFonts w:hint="eastAsia" w:ascii="仿宋" w:hAnsi="仿宋" w:eastAsia="仿宋"/>
          <w:bCs/>
          <w:sz w:val="32"/>
          <w:szCs w:val="32"/>
        </w:rPr>
      </w:pPr>
      <w:r>
        <w:rPr>
          <w:rFonts w:hint="eastAsia" w:ascii="仿宋" w:hAnsi="仿宋" w:eastAsia="仿宋"/>
          <w:b/>
          <w:bCs w:val="0"/>
          <w:sz w:val="32"/>
          <w:szCs w:val="32"/>
        </w:rPr>
        <w:t>第十八条</w:t>
      </w:r>
      <w:r>
        <w:rPr>
          <w:rFonts w:hint="eastAsia" w:ascii="仿宋" w:hAnsi="仿宋" w:eastAsia="仿宋"/>
          <w:bCs/>
          <w:sz w:val="32"/>
          <w:szCs w:val="32"/>
        </w:rPr>
        <w:t xml:space="preserve"> 获奖工程项目由安徽公路建设行业协会通报表彰，并颁发奖牌和证书。</w:t>
      </w:r>
    </w:p>
    <w:p>
      <w:pPr>
        <w:tabs>
          <w:tab w:val="left" w:pos="2340"/>
        </w:tabs>
        <w:spacing w:line="600" w:lineRule="exact"/>
        <w:ind w:firstLine="643" w:firstLineChars="200"/>
        <w:rPr>
          <w:rFonts w:hint="eastAsia" w:ascii="仿宋" w:hAnsi="仿宋" w:eastAsia="仿宋"/>
          <w:bCs/>
          <w:sz w:val="32"/>
          <w:szCs w:val="32"/>
        </w:rPr>
      </w:pPr>
      <w:r>
        <w:rPr>
          <w:rFonts w:hint="eastAsia" w:ascii="仿宋" w:hAnsi="仿宋" w:eastAsia="仿宋"/>
          <w:b/>
          <w:bCs w:val="0"/>
          <w:sz w:val="32"/>
          <w:szCs w:val="32"/>
        </w:rPr>
        <w:t>第十九条</w:t>
      </w:r>
      <w:r>
        <w:rPr>
          <w:rFonts w:hint="eastAsia" w:ascii="仿宋" w:hAnsi="仿宋" w:eastAsia="仿宋"/>
          <w:b/>
          <w:sz w:val="32"/>
          <w:szCs w:val="32"/>
        </w:rPr>
        <w:t xml:space="preserve"> </w:t>
      </w:r>
      <w:r>
        <w:rPr>
          <w:rFonts w:hint="eastAsia" w:ascii="仿宋" w:hAnsi="仿宋" w:eastAsia="仿宋"/>
          <w:bCs/>
          <w:sz w:val="32"/>
          <w:szCs w:val="32"/>
        </w:rPr>
        <w:t>建议相关部门对</w:t>
      </w:r>
      <w:r>
        <w:rPr>
          <w:rFonts w:hint="eastAsia" w:ascii="仿宋" w:hAnsi="仿宋" w:eastAsia="仿宋"/>
          <w:sz w:val="32"/>
          <w:szCs w:val="32"/>
        </w:rPr>
        <w:t>获奖单位在信用评价、招投标等方面给予提高等级和优惠，获奖单位可对项目参建人员给予适当的精神或物质奖励。</w:t>
      </w:r>
    </w:p>
    <w:p>
      <w:pPr>
        <w:tabs>
          <w:tab w:val="left" w:pos="2340"/>
        </w:tabs>
        <w:spacing w:line="600" w:lineRule="exact"/>
        <w:ind w:firstLine="643" w:firstLineChars="200"/>
        <w:rPr>
          <w:rFonts w:hint="eastAsia" w:ascii="仿宋" w:hAnsi="仿宋" w:eastAsia="仿宋"/>
          <w:bCs/>
          <w:sz w:val="32"/>
          <w:szCs w:val="32"/>
        </w:rPr>
      </w:pPr>
      <w:r>
        <w:rPr>
          <w:rFonts w:hint="eastAsia" w:ascii="仿宋" w:hAnsi="仿宋" w:eastAsia="仿宋"/>
          <w:b/>
          <w:bCs w:val="0"/>
          <w:sz w:val="32"/>
          <w:szCs w:val="32"/>
        </w:rPr>
        <w:t>第二十条</w:t>
      </w:r>
      <w:r>
        <w:rPr>
          <w:rFonts w:hint="eastAsia" w:ascii="仿宋" w:hAnsi="仿宋" w:eastAsia="仿宋"/>
          <w:bCs/>
          <w:sz w:val="32"/>
          <w:szCs w:val="32"/>
        </w:rPr>
        <w:t xml:space="preserve"> 申报单位有弄虚作假行为</w:t>
      </w:r>
      <w:r>
        <w:rPr>
          <w:rFonts w:hint="eastAsia" w:ascii="仿宋" w:hAnsi="仿宋" w:eastAsia="仿宋"/>
          <w:bCs/>
          <w:sz w:val="32"/>
          <w:szCs w:val="32"/>
          <w:lang w:val="en-US" w:eastAsia="zh-CN"/>
        </w:rPr>
        <w:t>和</w:t>
      </w:r>
      <w:r>
        <w:rPr>
          <w:rFonts w:hint="eastAsia" w:ascii="仿宋" w:hAnsi="仿宋" w:eastAsia="仿宋"/>
          <w:sz w:val="32"/>
          <w:szCs w:val="32"/>
        </w:rPr>
        <w:t>发现获奖项目存在较大质量问题</w:t>
      </w:r>
      <w:r>
        <w:rPr>
          <w:rFonts w:hint="eastAsia" w:ascii="仿宋" w:hAnsi="仿宋" w:eastAsia="仿宋"/>
          <w:sz w:val="32"/>
          <w:szCs w:val="32"/>
          <w:lang w:val="en-US" w:eastAsia="zh-CN"/>
        </w:rPr>
        <w:t>的</w:t>
      </w:r>
      <w:r>
        <w:rPr>
          <w:rFonts w:hint="eastAsia" w:ascii="仿宋" w:hAnsi="仿宋" w:eastAsia="仿宋"/>
          <w:bCs/>
          <w:sz w:val="32"/>
          <w:szCs w:val="32"/>
        </w:rPr>
        <w:t>，经核实</w:t>
      </w:r>
      <w:r>
        <w:rPr>
          <w:rFonts w:hint="eastAsia" w:ascii="仿宋" w:hAnsi="仿宋" w:eastAsia="仿宋"/>
          <w:bCs/>
          <w:sz w:val="32"/>
          <w:szCs w:val="32"/>
          <w:lang w:eastAsia="zh-CN"/>
        </w:rPr>
        <w:t>，</w:t>
      </w:r>
      <w:r>
        <w:rPr>
          <w:rFonts w:hint="eastAsia" w:ascii="仿宋" w:hAnsi="仿宋" w:eastAsia="仿宋"/>
          <w:bCs/>
          <w:sz w:val="32"/>
          <w:szCs w:val="32"/>
        </w:rPr>
        <w:t>安徽公路</w:t>
      </w:r>
      <w:r>
        <w:rPr>
          <w:rFonts w:hint="eastAsia" w:ascii="仿宋" w:hAnsi="仿宋" w:eastAsia="仿宋"/>
          <w:bCs/>
          <w:sz w:val="32"/>
          <w:szCs w:val="32"/>
          <w:lang w:val="en-US" w:eastAsia="zh-CN"/>
        </w:rPr>
        <w:t>建设</w:t>
      </w:r>
      <w:r>
        <w:rPr>
          <w:rFonts w:hint="eastAsia" w:ascii="仿宋" w:hAnsi="仿宋" w:eastAsia="仿宋"/>
          <w:bCs/>
          <w:sz w:val="32"/>
          <w:szCs w:val="32"/>
        </w:rPr>
        <w:t>行业协会</w:t>
      </w:r>
      <w:r>
        <w:rPr>
          <w:rFonts w:hint="eastAsia" w:ascii="仿宋" w:hAnsi="仿宋" w:eastAsia="仿宋"/>
          <w:bCs/>
          <w:sz w:val="32"/>
          <w:szCs w:val="32"/>
          <w:lang w:val="en-US" w:eastAsia="zh-CN"/>
        </w:rPr>
        <w:t>将取</w:t>
      </w:r>
      <w:r>
        <w:rPr>
          <w:rFonts w:hint="eastAsia" w:ascii="仿宋" w:hAnsi="仿宋" w:eastAsia="仿宋"/>
          <w:bCs/>
          <w:sz w:val="32"/>
          <w:szCs w:val="32"/>
        </w:rPr>
        <w:t>消其获奖资格。</w:t>
      </w:r>
    </w:p>
    <w:p>
      <w:pPr>
        <w:tabs>
          <w:tab w:val="left" w:pos="2340"/>
        </w:tabs>
        <w:spacing w:line="600" w:lineRule="exact"/>
        <w:ind w:firstLine="643" w:firstLineChars="200"/>
        <w:rPr>
          <w:rFonts w:hint="eastAsia" w:ascii="仿宋_GB2312" w:hAnsi="华文中宋" w:eastAsia="仿宋_GB2312"/>
          <w:b/>
          <w:sz w:val="30"/>
          <w:szCs w:val="30"/>
        </w:rPr>
      </w:pPr>
      <w:r>
        <w:rPr>
          <w:rFonts w:hint="eastAsia" w:ascii="仿宋" w:hAnsi="仿宋" w:eastAsia="仿宋"/>
          <w:b/>
          <w:bCs/>
          <w:sz w:val="32"/>
          <w:szCs w:val="32"/>
        </w:rPr>
        <w:t>第二十一条</w:t>
      </w:r>
      <w:r>
        <w:rPr>
          <w:rFonts w:hint="eastAsia" w:ascii="仿宋" w:hAnsi="仿宋" w:eastAsia="仿宋"/>
          <w:sz w:val="32"/>
          <w:szCs w:val="32"/>
        </w:rPr>
        <w:t xml:space="preserve"> </w:t>
      </w:r>
      <w:r>
        <w:rPr>
          <w:rFonts w:hint="eastAsia" w:ascii="仿宋" w:hAnsi="仿宋" w:eastAsia="仿宋"/>
          <w:bCs/>
          <w:sz w:val="32"/>
          <w:szCs w:val="32"/>
        </w:rPr>
        <w:t>评选工作坚持</w:t>
      </w:r>
      <w:r>
        <w:rPr>
          <w:rFonts w:hint="eastAsia" w:ascii="仿宋" w:hAnsi="仿宋" w:eastAsia="仿宋"/>
          <w:sz w:val="32"/>
          <w:szCs w:val="32"/>
        </w:rPr>
        <w:t>公平、公正的原则。评审委员要秉公办事、科学严谨、认真负责、廉洁自律，违反规定的，取消评审委员资格并依法处理。</w:t>
      </w:r>
    </w:p>
    <w:p>
      <w:pPr>
        <w:tabs>
          <w:tab w:val="left" w:pos="5580"/>
          <w:tab w:val="left" w:pos="6480"/>
        </w:tabs>
        <w:spacing w:line="440" w:lineRule="exact"/>
        <w:ind w:right="63" w:rightChars="30"/>
        <w:jc w:val="center"/>
        <w:rPr>
          <w:rFonts w:hint="eastAsia" w:ascii="仿宋_GB2312" w:hAnsi="华文中宋" w:eastAsia="仿宋_GB2312"/>
          <w:b/>
          <w:sz w:val="30"/>
          <w:szCs w:val="30"/>
        </w:rPr>
      </w:pPr>
    </w:p>
    <w:p>
      <w:pPr>
        <w:tabs>
          <w:tab w:val="left" w:pos="5580"/>
          <w:tab w:val="left" w:pos="6480"/>
        </w:tabs>
        <w:spacing w:line="440" w:lineRule="exact"/>
        <w:ind w:right="63" w:rightChars="30"/>
        <w:jc w:val="center"/>
        <w:rPr>
          <w:rFonts w:hint="eastAsia" w:ascii="仿宋_GB2312" w:hAnsi="华文中宋" w:eastAsia="仿宋_GB2312"/>
          <w:b/>
          <w:sz w:val="30"/>
          <w:szCs w:val="30"/>
        </w:rPr>
      </w:pPr>
      <w:r>
        <w:rPr>
          <w:rFonts w:hint="eastAsia" w:ascii="仿宋" w:hAnsi="仿宋" w:eastAsia="仿宋"/>
          <w:b/>
          <w:bCs/>
          <w:sz w:val="32"/>
          <w:szCs w:val="32"/>
        </w:rPr>
        <w:t>第七章　附 则</w:t>
      </w:r>
    </w:p>
    <w:p>
      <w:pPr>
        <w:tabs>
          <w:tab w:val="left" w:pos="5580"/>
          <w:tab w:val="left" w:pos="6480"/>
        </w:tabs>
        <w:spacing w:line="440" w:lineRule="exact"/>
        <w:ind w:right="63" w:rightChars="30"/>
        <w:jc w:val="center"/>
        <w:rPr>
          <w:rFonts w:hint="eastAsia" w:ascii="仿宋_GB2312" w:hAnsi="华文中宋" w:eastAsia="仿宋_GB2312"/>
          <w:b/>
          <w:sz w:val="30"/>
          <w:szCs w:val="30"/>
        </w:rPr>
      </w:pPr>
      <w:r>
        <w:rPr>
          <w:rFonts w:hint="eastAsia" w:ascii="仿宋_GB2312" w:hAnsi="华文中宋" w:eastAsia="仿宋_GB2312"/>
          <w:b/>
          <w:sz w:val="30"/>
          <w:szCs w:val="30"/>
        </w:rPr>
        <w:t xml:space="preserve">    </w:t>
      </w:r>
    </w:p>
    <w:p>
      <w:pPr>
        <w:tabs>
          <w:tab w:val="left" w:pos="2340"/>
        </w:tabs>
        <w:spacing w:line="420" w:lineRule="exact"/>
        <w:ind w:firstLine="643" w:firstLineChars="200"/>
        <w:rPr>
          <w:rFonts w:hint="eastAsia" w:ascii="仿宋" w:hAnsi="仿宋" w:eastAsia="仿宋"/>
          <w:sz w:val="32"/>
          <w:szCs w:val="32"/>
        </w:rPr>
      </w:pPr>
      <w:r>
        <w:rPr>
          <w:rFonts w:hint="eastAsia" w:ascii="仿宋" w:hAnsi="仿宋" w:eastAsia="仿宋"/>
          <w:b/>
          <w:bCs/>
          <w:sz w:val="32"/>
          <w:szCs w:val="32"/>
        </w:rPr>
        <w:t>第二十</w:t>
      </w:r>
      <w:r>
        <w:rPr>
          <w:rFonts w:hint="eastAsia" w:ascii="仿宋" w:hAnsi="仿宋" w:eastAsia="仿宋"/>
          <w:b/>
          <w:bCs/>
          <w:sz w:val="32"/>
          <w:szCs w:val="32"/>
          <w:lang w:val="en-US" w:eastAsia="zh-CN"/>
        </w:rPr>
        <w:t>二</w:t>
      </w:r>
      <w:r>
        <w:rPr>
          <w:rFonts w:hint="eastAsia" w:ascii="仿宋" w:hAnsi="仿宋" w:eastAsia="仿宋"/>
          <w:b/>
          <w:bCs/>
          <w:sz w:val="32"/>
          <w:szCs w:val="32"/>
        </w:rPr>
        <w:t xml:space="preserve">条 </w:t>
      </w:r>
      <w:r>
        <w:rPr>
          <w:rFonts w:hint="eastAsia" w:ascii="仿宋" w:hAnsi="仿宋" w:eastAsia="仿宋"/>
          <w:sz w:val="32"/>
          <w:szCs w:val="32"/>
        </w:rPr>
        <w:t xml:space="preserve"> 本办法由安徽公路建设行业协会负责解释。</w:t>
      </w:r>
    </w:p>
    <w:p>
      <w:pPr>
        <w:tabs>
          <w:tab w:val="left" w:pos="2340"/>
        </w:tabs>
        <w:spacing w:line="600" w:lineRule="exact"/>
        <w:ind w:firstLine="643" w:firstLineChars="200"/>
        <w:rPr>
          <w:rFonts w:hint="eastAsia" w:ascii="仿宋" w:hAnsi="仿宋" w:eastAsia="仿宋"/>
          <w:sz w:val="32"/>
          <w:szCs w:val="32"/>
        </w:rPr>
      </w:pPr>
      <w:r>
        <w:rPr>
          <w:rFonts w:hint="eastAsia" w:ascii="仿宋" w:hAnsi="仿宋" w:eastAsia="仿宋"/>
          <w:b/>
          <w:bCs/>
          <w:sz w:val="32"/>
          <w:szCs w:val="32"/>
        </w:rPr>
        <w:t>第二十</w:t>
      </w:r>
      <w:r>
        <w:rPr>
          <w:rFonts w:hint="eastAsia" w:ascii="仿宋" w:hAnsi="仿宋" w:eastAsia="仿宋"/>
          <w:b/>
          <w:bCs/>
          <w:sz w:val="32"/>
          <w:szCs w:val="32"/>
          <w:lang w:val="en-US" w:eastAsia="zh-CN"/>
        </w:rPr>
        <w:t>三</w:t>
      </w:r>
      <w:r>
        <w:rPr>
          <w:rFonts w:hint="eastAsia" w:ascii="仿宋" w:hAnsi="仿宋" w:eastAsia="仿宋"/>
          <w:b/>
          <w:bCs/>
          <w:sz w:val="32"/>
          <w:szCs w:val="32"/>
        </w:rPr>
        <w:t>条</w:t>
      </w:r>
      <w:r>
        <w:rPr>
          <w:rFonts w:hint="eastAsia" w:ascii="仿宋" w:hAnsi="仿宋" w:eastAsia="仿宋"/>
          <w:sz w:val="32"/>
          <w:szCs w:val="32"/>
        </w:rPr>
        <w:t xml:space="preserve">  本办法</w:t>
      </w:r>
      <w:r>
        <w:rPr>
          <w:rFonts w:hint="eastAsia" w:ascii="仿宋" w:hAnsi="仿宋" w:eastAsia="仿宋"/>
          <w:sz w:val="32"/>
          <w:szCs w:val="32"/>
          <w:lang w:val="en-US" w:eastAsia="zh-CN"/>
        </w:rPr>
        <w:t>自</w:t>
      </w: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年7月1日</w:t>
      </w:r>
      <w:r>
        <w:rPr>
          <w:rFonts w:hint="eastAsia" w:ascii="仿宋" w:hAnsi="仿宋" w:eastAsia="仿宋"/>
          <w:sz w:val="32"/>
          <w:szCs w:val="32"/>
          <w:lang w:val="en-US" w:eastAsia="zh-CN"/>
        </w:rPr>
        <w:t>起施</w:t>
      </w:r>
      <w:r>
        <w:rPr>
          <w:rFonts w:hint="eastAsia" w:ascii="仿宋" w:hAnsi="仿宋" w:eastAsia="仿宋"/>
          <w:sz w:val="32"/>
          <w:szCs w:val="32"/>
        </w:rPr>
        <w:t>行，原《安徽交通优质工程</w:t>
      </w:r>
      <w:r>
        <w:rPr>
          <w:rFonts w:hint="eastAsia" w:ascii="仿宋" w:hAnsi="仿宋" w:eastAsia="仿宋"/>
          <w:sz w:val="32"/>
          <w:szCs w:val="32"/>
          <w:lang w:val="en-US" w:eastAsia="zh-CN"/>
        </w:rPr>
        <w:t>奖</w:t>
      </w:r>
      <w:r>
        <w:rPr>
          <w:rFonts w:hint="eastAsia" w:ascii="仿宋" w:hAnsi="仿宋" w:eastAsia="仿宋"/>
          <w:sz w:val="32"/>
          <w:szCs w:val="32"/>
        </w:rPr>
        <w:t>评选办法》同时终止。</w:t>
      </w: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spacing w:line="440" w:lineRule="exact"/>
        <w:rPr>
          <w:rFonts w:hint="eastAsia" w:ascii="华文仿宋" w:hAnsi="华文仿宋" w:eastAsia="华文仿宋"/>
          <w:sz w:val="30"/>
          <w:szCs w:val="30"/>
        </w:rPr>
      </w:pPr>
      <w:r>
        <w:rPr>
          <w:rFonts w:hint="eastAsia" w:ascii="华文仿宋" w:hAnsi="华文仿宋" w:eastAsia="华文仿宋"/>
          <w:sz w:val="30"/>
          <w:szCs w:val="30"/>
        </w:rPr>
        <w:t>附件：</w:t>
      </w:r>
    </w:p>
    <w:p>
      <w:pPr>
        <w:jc w:val="center"/>
        <w:rPr>
          <w:rFonts w:hint="eastAsia" w:ascii="仿宋_GB2312" w:hAnsi="华文中宋" w:eastAsia="仿宋_GB2312" w:cs="宋体-18030"/>
          <w:b/>
          <w:bCs/>
          <w:sz w:val="52"/>
        </w:rPr>
      </w:pPr>
      <w:r>
        <w:rPr>
          <w:rFonts w:hint="eastAsia" w:ascii="仿宋_GB2312" w:hAnsi="华文中宋" w:eastAsia="仿宋_GB2312" w:cs="宋体-18030"/>
          <w:b/>
          <w:bCs/>
          <w:sz w:val="52"/>
          <w:szCs w:val="52"/>
        </w:rPr>
        <w:t>安徽交通优质工程奖申报表</w:t>
      </w: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仿宋_GB2312" w:hAnsi="华文仿宋" w:eastAsia="仿宋_GB2312"/>
          <w:b/>
          <w:bCs/>
          <w:sz w:val="32"/>
          <w:u w:val="single"/>
        </w:rPr>
      </w:pPr>
    </w:p>
    <w:p>
      <w:pPr>
        <w:rPr>
          <w:rFonts w:hint="eastAsia" w:ascii="仿宋_GB2312" w:hAnsi="华文仿宋" w:eastAsia="仿宋_GB2312"/>
          <w:b/>
          <w:bCs/>
          <w:sz w:val="32"/>
          <w:u w:val="single"/>
        </w:rPr>
      </w:pPr>
    </w:p>
    <w:p>
      <w:pPr>
        <w:rPr>
          <w:rFonts w:hint="eastAsia" w:ascii="仿宋_GB2312" w:hAnsi="华文仿宋" w:eastAsia="仿宋_GB2312"/>
          <w:b/>
          <w:bCs/>
          <w:sz w:val="32"/>
          <w:u w:val="single"/>
        </w:rPr>
      </w:pPr>
    </w:p>
    <w:p>
      <w:pPr>
        <w:ind w:firstLine="1079" w:firstLineChars="336"/>
        <w:rPr>
          <w:rFonts w:hint="eastAsia" w:ascii="仿宋_GB2312" w:hAnsi="华文仿宋" w:eastAsia="仿宋_GB2312"/>
          <w:b/>
          <w:bCs/>
          <w:sz w:val="32"/>
          <w:u w:val="single"/>
        </w:rPr>
      </w:pPr>
    </w:p>
    <w:p>
      <w:pPr>
        <w:ind w:firstLine="1285" w:firstLineChars="400"/>
        <w:rPr>
          <w:rFonts w:hint="eastAsia" w:ascii="仿宋_GB2312" w:hAnsi="宋体" w:eastAsia="仿宋_GB2312"/>
          <w:b/>
          <w:bCs/>
          <w:sz w:val="32"/>
          <w:szCs w:val="32"/>
        </w:rPr>
      </w:pPr>
      <w:r>
        <w:rPr>
          <w:rFonts w:hint="eastAsia" w:ascii="仿宋_GB2312" w:hAnsi="宋体" w:eastAsia="仿宋_GB2312"/>
          <w:b/>
          <w:bCs/>
          <w:sz w:val="32"/>
          <w:szCs w:val="32"/>
        </w:rPr>
        <w:t xml:space="preserve">项目名称 </w:t>
      </w:r>
      <w:r>
        <w:rPr>
          <w:rFonts w:hint="eastAsia" w:ascii="仿宋_GB2312" w:hAnsi="宋体" w:eastAsia="仿宋_GB2312"/>
          <w:b/>
          <w:bCs/>
          <w:sz w:val="32"/>
          <w:szCs w:val="32"/>
          <w:u w:val="single"/>
        </w:rPr>
        <w:t xml:space="preserve">                             </w:t>
      </w:r>
      <w:r>
        <w:rPr>
          <w:rFonts w:hint="eastAsia" w:ascii="仿宋_GB2312" w:hAnsi="宋体" w:eastAsia="仿宋_GB2312"/>
          <w:b/>
          <w:bCs/>
          <w:sz w:val="32"/>
          <w:szCs w:val="32"/>
        </w:rPr>
        <w:t xml:space="preserve">            </w:t>
      </w:r>
    </w:p>
    <w:p>
      <w:pPr>
        <w:ind w:firstLine="940" w:firstLineChars="336"/>
        <w:rPr>
          <w:rFonts w:hint="eastAsia" w:ascii="仿宋_GB2312" w:hAnsi="宋体" w:eastAsia="仿宋_GB2312"/>
          <w:sz w:val="28"/>
        </w:rPr>
      </w:pPr>
    </w:p>
    <w:p>
      <w:pPr>
        <w:ind w:firstLine="1285" w:firstLineChars="400"/>
        <w:rPr>
          <w:rFonts w:hint="eastAsia" w:ascii="仿宋_GB2312" w:hAnsi="华文仿宋" w:eastAsia="仿宋_GB2312"/>
          <w:b/>
          <w:bCs/>
          <w:sz w:val="32"/>
          <w:u w:val="single"/>
        </w:rPr>
      </w:pPr>
      <w:r>
        <w:rPr>
          <w:rFonts w:hint="eastAsia" w:ascii="仿宋_GB2312" w:hAnsi="华文仿宋" w:eastAsia="仿宋_GB2312"/>
          <w:b/>
          <w:bCs/>
          <w:sz w:val="32"/>
        </w:rPr>
        <w:t xml:space="preserve">申报单位 </w:t>
      </w:r>
      <w:r>
        <w:rPr>
          <w:rFonts w:hint="eastAsia" w:ascii="仿宋_GB2312" w:hAnsi="华文仿宋" w:eastAsia="仿宋_GB2312"/>
          <w:b/>
          <w:bCs/>
          <w:sz w:val="32"/>
          <w:u w:val="single"/>
        </w:rPr>
        <w:t xml:space="preserve">                     （盖章）</w:t>
      </w:r>
    </w:p>
    <w:p>
      <w:pPr>
        <w:ind w:firstLine="1075" w:firstLineChars="336"/>
        <w:rPr>
          <w:rFonts w:hint="eastAsia" w:ascii="仿宋_GB2312" w:hAnsi="华文仿宋" w:eastAsia="仿宋_GB2312"/>
          <w:sz w:val="32"/>
        </w:rPr>
      </w:pPr>
    </w:p>
    <w:p>
      <w:pPr>
        <w:ind w:firstLine="1285" w:firstLineChars="400"/>
        <w:rPr>
          <w:rFonts w:hint="eastAsia" w:ascii="仿宋_GB2312" w:hAnsi="华文仿宋" w:eastAsia="仿宋_GB2312"/>
          <w:b/>
          <w:bCs/>
          <w:sz w:val="32"/>
          <w:u w:val="single"/>
        </w:rPr>
      </w:pPr>
      <w:r>
        <w:rPr>
          <w:rFonts w:hint="eastAsia" w:ascii="仿宋_GB2312" w:hAnsi="华文仿宋" w:eastAsia="仿宋_GB2312"/>
          <w:b/>
          <w:bCs/>
          <w:sz w:val="32"/>
        </w:rPr>
        <w:t xml:space="preserve">申报日期 </w:t>
      </w:r>
      <w:r>
        <w:rPr>
          <w:rFonts w:hint="eastAsia" w:ascii="仿宋_GB2312" w:hAnsi="华文仿宋" w:eastAsia="仿宋_GB2312"/>
          <w:b/>
          <w:bCs/>
          <w:sz w:val="32"/>
          <w:u w:val="single"/>
        </w:rPr>
        <w:t xml:space="preserve">                             </w:t>
      </w:r>
    </w:p>
    <w:p>
      <w:pPr>
        <w:ind w:firstLine="1285" w:firstLineChars="400"/>
        <w:rPr>
          <w:rFonts w:hint="eastAsia" w:ascii="仿宋_GB2312" w:hAnsi="华文仿宋" w:eastAsia="仿宋_GB2312"/>
          <w:b/>
          <w:bCs/>
          <w:sz w:val="32"/>
          <w:u w:val="single"/>
        </w:rPr>
      </w:pPr>
    </w:p>
    <w:p>
      <w:pPr>
        <w:rPr>
          <w:rFonts w:hint="eastAsia" w:ascii="仿宋_GB2312" w:hAnsi="华文仿宋" w:eastAsia="仿宋_GB2312"/>
          <w:b/>
          <w:bCs/>
          <w:sz w:val="32"/>
          <w:u w:val="single"/>
        </w:rPr>
      </w:pPr>
    </w:p>
    <w:p>
      <w:pPr>
        <w:rPr>
          <w:rFonts w:hint="eastAsia" w:ascii="仿宋_GB2312" w:hAnsi="华文仿宋" w:eastAsia="仿宋_GB2312"/>
          <w:b/>
          <w:bCs/>
          <w:sz w:val="32"/>
          <w:u w:val="single"/>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2236"/>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36"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项目名称</w:t>
            </w:r>
          </w:p>
        </w:tc>
        <w:tc>
          <w:tcPr>
            <w:tcW w:w="6710" w:type="dxa"/>
            <w:gridSpan w:val="3"/>
            <w:noWrap w:val="0"/>
            <w:vAlign w:val="center"/>
          </w:tcPr>
          <w:p>
            <w:pPr>
              <w:adjustRightInd w:val="0"/>
              <w:snapToGrid w:val="0"/>
              <w:spacing w:line="52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6"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项目建设管理单位</w:t>
            </w:r>
          </w:p>
        </w:tc>
        <w:tc>
          <w:tcPr>
            <w:tcW w:w="6710" w:type="dxa"/>
            <w:gridSpan w:val="3"/>
            <w:noWrap w:val="0"/>
            <w:vAlign w:val="center"/>
          </w:tcPr>
          <w:p>
            <w:pPr>
              <w:adjustRightInd w:val="0"/>
              <w:snapToGrid w:val="0"/>
              <w:spacing w:line="52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6"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建设地点</w:t>
            </w:r>
          </w:p>
        </w:tc>
        <w:tc>
          <w:tcPr>
            <w:tcW w:w="6710" w:type="dxa"/>
            <w:gridSpan w:val="3"/>
            <w:noWrap w:val="0"/>
            <w:vAlign w:val="center"/>
          </w:tcPr>
          <w:p>
            <w:pPr>
              <w:adjustRightInd w:val="0"/>
              <w:snapToGrid w:val="0"/>
              <w:spacing w:line="52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申报人联系电话</w:t>
            </w:r>
          </w:p>
        </w:tc>
        <w:tc>
          <w:tcPr>
            <w:tcW w:w="2236" w:type="dxa"/>
            <w:noWrap w:val="0"/>
            <w:vAlign w:val="center"/>
          </w:tcPr>
          <w:p>
            <w:pPr>
              <w:adjustRightInd w:val="0"/>
              <w:snapToGrid w:val="0"/>
              <w:spacing w:line="520" w:lineRule="atLeast"/>
              <w:jc w:val="center"/>
              <w:rPr>
                <w:rFonts w:hint="eastAsia" w:ascii="宋体" w:hAnsi="宋体"/>
                <w:sz w:val="24"/>
              </w:rPr>
            </w:pPr>
          </w:p>
        </w:tc>
        <w:tc>
          <w:tcPr>
            <w:tcW w:w="2237"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传真</w:t>
            </w:r>
          </w:p>
        </w:tc>
        <w:tc>
          <w:tcPr>
            <w:tcW w:w="2237" w:type="dxa"/>
            <w:noWrap w:val="0"/>
            <w:vAlign w:val="center"/>
          </w:tcPr>
          <w:p>
            <w:pPr>
              <w:adjustRightInd w:val="0"/>
              <w:snapToGrid w:val="0"/>
              <w:spacing w:line="52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6"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主要勘察、设计单位及资质等级</w:t>
            </w:r>
          </w:p>
        </w:tc>
        <w:tc>
          <w:tcPr>
            <w:tcW w:w="6710" w:type="dxa"/>
            <w:gridSpan w:val="3"/>
            <w:noWrap w:val="0"/>
            <w:vAlign w:val="center"/>
          </w:tcPr>
          <w:p>
            <w:pPr>
              <w:adjustRightInd w:val="0"/>
              <w:snapToGrid w:val="0"/>
              <w:spacing w:line="52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6"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主要施工单位   及资质等级</w:t>
            </w:r>
          </w:p>
        </w:tc>
        <w:tc>
          <w:tcPr>
            <w:tcW w:w="6710" w:type="dxa"/>
            <w:gridSpan w:val="3"/>
            <w:noWrap w:val="0"/>
            <w:vAlign w:val="center"/>
          </w:tcPr>
          <w:p>
            <w:pPr>
              <w:adjustRightInd w:val="0"/>
              <w:snapToGrid w:val="0"/>
              <w:spacing w:line="52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6"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主要监理单位   及资质等级</w:t>
            </w:r>
          </w:p>
        </w:tc>
        <w:tc>
          <w:tcPr>
            <w:tcW w:w="6710" w:type="dxa"/>
            <w:gridSpan w:val="3"/>
            <w:noWrap w:val="0"/>
            <w:vAlign w:val="center"/>
          </w:tcPr>
          <w:p>
            <w:pPr>
              <w:adjustRightInd w:val="0"/>
              <w:snapToGrid w:val="0"/>
              <w:spacing w:line="52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6"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竣工验收组织单位</w:t>
            </w:r>
          </w:p>
        </w:tc>
        <w:tc>
          <w:tcPr>
            <w:tcW w:w="6710" w:type="dxa"/>
            <w:gridSpan w:val="3"/>
            <w:noWrap w:val="0"/>
            <w:vAlign w:val="center"/>
          </w:tcPr>
          <w:p>
            <w:pPr>
              <w:adjustRightInd w:val="0"/>
              <w:snapToGrid w:val="0"/>
              <w:spacing w:line="52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开工时间</w:t>
            </w:r>
          </w:p>
        </w:tc>
        <w:tc>
          <w:tcPr>
            <w:tcW w:w="2236" w:type="dxa"/>
            <w:noWrap w:val="0"/>
            <w:vAlign w:val="center"/>
          </w:tcPr>
          <w:p>
            <w:pPr>
              <w:adjustRightInd w:val="0"/>
              <w:snapToGrid w:val="0"/>
              <w:spacing w:line="520" w:lineRule="atLeast"/>
              <w:jc w:val="center"/>
              <w:rPr>
                <w:rFonts w:hint="eastAsia" w:ascii="宋体" w:hAnsi="宋体"/>
                <w:sz w:val="24"/>
              </w:rPr>
            </w:pPr>
          </w:p>
        </w:tc>
        <w:tc>
          <w:tcPr>
            <w:tcW w:w="2237"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完工时间</w:t>
            </w:r>
          </w:p>
        </w:tc>
        <w:tc>
          <w:tcPr>
            <w:tcW w:w="2237" w:type="dxa"/>
            <w:noWrap w:val="0"/>
            <w:vAlign w:val="center"/>
          </w:tcPr>
          <w:p>
            <w:pPr>
              <w:adjustRightInd w:val="0"/>
              <w:snapToGrid w:val="0"/>
              <w:spacing w:line="52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初步设计批复工期</w:t>
            </w:r>
          </w:p>
        </w:tc>
        <w:tc>
          <w:tcPr>
            <w:tcW w:w="2236" w:type="dxa"/>
            <w:noWrap w:val="0"/>
            <w:vAlign w:val="center"/>
          </w:tcPr>
          <w:p>
            <w:pPr>
              <w:adjustRightInd w:val="0"/>
              <w:snapToGrid w:val="0"/>
              <w:spacing w:line="520" w:lineRule="atLeast"/>
              <w:jc w:val="center"/>
              <w:rPr>
                <w:rFonts w:hint="eastAsia" w:ascii="宋体" w:hAnsi="宋体"/>
                <w:sz w:val="24"/>
              </w:rPr>
            </w:pPr>
          </w:p>
        </w:tc>
        <w:tc>
          <w:tcPr>
            <w:tcW w:w="2237"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建设性质</w:t>
            </w:r>
          </w:p>
        </w:tc>
        <w:tc>
          <w:tcPr>
            <w:tcW w:w="2237" w:type="dxa"/>
            <w:noWrap w:val="0"/>
            <w:vAlign w:val="center"/>
          </w:tcPr>
          <w:p>
            <w:pPr>
              <w:adjustRightInd w:val="0"/>
              <w:snapToGrid w:val="0"/>
              <w:spacing w:line="52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6"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工程事故</w:t>
            </w:r>
          </w:p>
        </w:tc>
        <w:tc>
          <w:tcPr>
            <w:tcW w:w="6710" w:type="dxa"/>
            <w:gridSpan w:val="3"/>
            <w:noWrap w:val="0"/>
            <w:vAlign w:val="center"/>
          </w:tcPr>
          <w:p>
            <w:pPr>
              <w:adjustRightInd w:val="0"/>
              <w:snapToGrid w:val="0"/>
              <w:spacing w:line="52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批准概算</w:t>
            </w:r>
          </w:p>
          <w:p>
            <w:pPr>
              <w:adjustRightInd w:val="0"/>
              <w:snapToGrid w:val="0"/>
              <w:spacing w:line="520" w:lineRule="atLeast"/>
              <w:jc w:val="center"/>
              <w:rPr>
                <w:rFonts w:hint="eastAsia" w:ascii="宋体" w:hAnsi="宋体"/>
                <w:sz w:val="24"/>
              </w:rPr>
            </w:pPr>
            <w:r>
              <w:rPr>
                <w:rFonts w:hint="eastAsia" w:ascii="宋体" w:hAnsi="宋体"/>
                <w:sz w:val="24"/>
              </w:rPr>
              <w:t>（万元）</w:t>
            </w:r>
          </w:p>
        </w:tc>
        <w:tc>
          <w:tcPr>
            <w:tcW w:w="2236" w:type="dxa"/>
            <w:noWrap w:val="0"/>
            <w:vAlign w:val="center"/>
          </w:tcPr>
          <w:p>
            <w:pPr>
              <w:adjustRightInd w:val="0"/>
              <w:snapToGrid w:val="0"/>
              <w:spacing w:line="520" w:lineRule="atLeast"/>
              <w:jc w:val="center"/>
              <w:rPr>
                <w:rFonts w:hint="eastAsia" w:ascii="宋体" w:hAnsi="宋体"/>
                <w:sz w:val="24"/>
              </w:rPr>
            </w:pPr>
          </w:p>
        </w:tc>
        <w:tc>
          <w:tcPr>
            <w:tcW w:w="2237"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竣工决算</w:t>
            </w:r>
          </w:p>
          <w:p>
            <w:pPr>
              <w:adjustRightInd w:val="0"/>
              <w:snapToGrid w:val="0"/>
              <w:spacing w:line="520" w:lineRule="atLeast"/>
              <w:jc w:val="center"/>
              <w:rPr>
                <w:rFonts w:hint="eastAsia" w:ascii="宋体" w:hAnsi="宋体"/>
                <w:sz w:val="24"/>
              </w:rPr>
            </w:pPr>
            <w:r>
              <w:rPr>
                <w:rFonts w:hint="eastAsia" w:ascii="宋体" w:hAnsi="宋体"/>
                <w:sz w:val="24"/>
              </w:rPr>
              <w:t>（万元）</w:t>
            </w:r>
          </w:p>
        </w:tc>
        <w:tc>
          <w:tcPr>
            <w:tcW w:w="2237" w:type="dxa"/>
            <w:noWrap w:val="0"/>
            <w:vAlign w:val="center"/>
          </w:tcPr>
          <w:p>
            <w:pPr>
              <w:adjustRightInd w:val="0"/>
              <w:snapToGrid w:val="0"/>
              <w:spacing w:line="52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质量综合评分</w:t>
            </w:r>
          </w:p>
        </w:tc>
        <w:tc>
          <w:tcPr>
            <w:tcW w:w="2236" w:type="dxa"/>
            <w:noWrap w:val="0"/>
            <w:vAlign w:val="center"/>
          </w:tcPr>
          <w:p>
            <w:pPr>
              <w:adjustRightInd w:val="0"/>
              <w:snapToGrid w:val="0"/>
              <w:spacing w:line="520" w:lineRule="atLeast"/>
              <w:jc w:val="center"/>
              <w:rPr>
                <w:rFonts w:hint="eastAsia" w:ascii="宋体" w:hAnsi="宋体"/>
                <w:sz w:val="24"/>
              </w:rPr>
            </w:pPr>
          </w:p>
        </w:tc>
        <w:tc>
          <w:tcPr>
            <w:tcW w:w="2237"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工程质量等级</w:t>
            </w:r>
          </w:p>
        </w:tc>
        <w:tc>
          <w:tcPr>
            <w:tcW w:w="2237" w:type="dxa"/>
            <w:noWrap w:val="0"/>
            <w:vAlign w:val="center"/>
          </w:tcPr>
          <w:p>
            <w:pPr>
              <w:adjustRightInd w:val="0"/>
              <w:snapToGrid w:val="0"/>
              <w:spacing w:line="52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项目综合得分</w:t>
            </w:r>
          </w:p>
        </w:tc>
        <w:tc>
          <w:tcPr>
            <w:tcW w:w="2236" w:type="dxa"/>
            <w:noWrap w:val="0"/>
            <w:vAlign w:val="center"/>
          </w:tcPr>
          <w:p>
            <w:pPr>
              <w:adjustRightInd w:val="0"/>
              <w:snapToGrid w:val="0"/>
              <w:spacing w:line="520" w:lineRule="atLeast"/>
              <w:jc w:val="center"/>
              <w:rPr>
                <w:rFonts w:hint="eastAsia" w:ascii="宋体" w:hAnsi="宋体"/>
                <w:sz w:val="24"/>
              </w:rPr>
            </w:pPr>
          </w:p>
        </w:tc>
        <w:tc>
          <w:tcPr>
            <w:tcW w:w="2237"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项目综合评价等级</w:t>
            </w:r>
          </w:p>
        </w:tc>
        <w:tc>
          <w:tcPr>
            <w:tcW w:w="2237" w:type="dxa"/>
            <w:noWrap w:val="0"/>
            <w:vAlign w:val="center"/>
          </w:tcPr>
          <w:p>
            <w:pPr>
              <w:adjustRightInd w:val="0"/>
              <w:snapToGrid w:val="0"/>
              <w:spacing w:line="52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6" w:type="dxa"/>
            <w:noWrap w:val="0"/>
            <w:vAlign w:val="center"/>
          </w:tcPr>
          <w:p>
            <w:pPr>
              <w:jc w:val="center"/>
              <w:rPr>
                <w:rFonts w:hint="eastAsia" w:ascii="宋体" w:hAnsi="宋体"/>
                <w:sz w:val="24"/>
              </w:rPr>
            </w:pPr>
            <w:r>
              <w:rPr>
                <w:rFonts w:hint="eastAsia" w:ascii="宋体" w:hAnsi="宋体"/>
                <w:sz w:val="24"/>
              </w:rPr>
              <w:t>建设规模及主要技术指标</w:t>
            </w:r>
          </w:p>
        </w:tc>
        <w:tc>
          <w:tcPr>
            <w:tcW w:w="6710" w:type="dxa"/>
            <w:gridSpan w:val="3"/>
            <w:noWrap w:val="0"/>
            <w:vAlign w:val="center"/>
          </w:tcPr>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rPr>
                <w:rFonts w:hint="eastAsia" w:ascii="宋体" w:hAnsi="宋体"/>
                <w:sz w:val="24"/>
              </w:rPr>
            </w:pP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6" w:type="dxa"/>
            <w:noWrap w:val="0"/>
            <w:vAlign w:val="center"/>
          </w:tcPr>
          <w:p>
            <w:pPr>
              <w:jc w:val="center"/>
              <w:rPr>
                <w:rFonts w:hint="eastAsia" w:ascii="宋体" w:hAnsi="宋体"/>
                <w:sz w:val="24"/>
              </w:rPr>
            </w:pPr>
            <w:r>
              <w:rPr>
                <w:rFonts w:hint="eastAsia" w:ascii="宋体" w:hAnsi="宋体"/>
                <w:sz w:val="24"/>
              </w:rPr>
              <w:t>工程建设主要内容</w:t>
            </w:r>
          </w:p>
        </w:tc>
        <w:tc>
          <w:tcPr>
            <w:tcW w:w="6710" w:type="dxa"/>
            <w:gridSpan w:val="3"/>
            <w:noWrap w:val="0"/>
            <w:vAlign w:val="center"/>
          </w:tcPr>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rPr>
                <w:rFonts w:hint="eastAsia" w:ascii="宋体" w:hAnsi="宋体"/>
                <w:sz w:val="24"/>
              </w:rPr>
            </w:pPr>
          </w:p>
          <w:p>
            <w:pPr>
              <w:jc w:val="center"/>
              <w:rPr>
                <w:rFonts w:hint="eastAsia" w:ascii="宋体" w:hAnsi="宋体"/>
                <w:sz w:val="24"/>
              </w:rPr>
            </w:pPr>
          </w:p>
        </w:tc>
      </w:tr>
    </w:tbl>
    <w:p>
      <w:pPr>
        <w:ind w:firstLine="315" w:firstLineChars="150"/>
        <w:rPr>
          <w:rFonts w:hint="eastAsia" w:ascii="宋体" w:hAnsi="宋体"/>
        </w:rPr>
      </w:pPr>
      <w:r>
        <w:rPr>
          <w:rFonts w:hint="eastAsia" w:ascii="宋体" w:hAnsi="宋体"/>
        </w:rPr>
        <w:t>填写说明：“建设性质”一栏填新建或改建项目</w:t>
      </w:r>
    </w:p>
    <w:p>
      <w:pPr>
        <w:rPr>
          <w:rFonts w:hint="eastAsia" w:ascii="宋体" w:hAnsi="宋体"/>
        </w:rPr>
      </w:pPr>
    </w:p>
    <w:tbl>
      <w:tblPr>
        <w:tblStyle w:val="6"/>
        <w:tblpPr w:leftFromText="180" w:rightFromText="180" w:vertAnchor="text" w:horzAnchor="margin" w:tblpXSpec="center" w:tblpY="2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0" w:hRule="atLeast"/>
        </w:trPr>
        <w:tc>
          <w:tcPr>
            <w:tcW w:w="8946" w:type="dxa"/>
            <w:noWrap w:val="0"/>
            <w:vAlign w:val="top"/>
          </w:tcPr>
          <w:p>
            <w:pPr>
              <w:rPr>
                <w:rFonts w:hint="eastAsia" w:ascii="宋体" w:hAnsi="宋体"/>
                <w:sz w:val="24"/>
              </w:rPr>
            </w:pPr>
          </w:p>
          <w:p>
            <w:pPr>
              <w:rPr>
                <w:rFonts w:hint="eastAsia" w:ascii="宋体" w:hAnsi="宋体"/>
                <w:sz w:val="24"/>
              </w:rPr>
            </w:pPr>
            <w:r>
              <w:rPr>
                <w:rFonts w:hint="eastAsia" w:ascii="宋体" w:hAnsi="宋体"/>
                <w:sz w:val="24"/>
              </w:rPr>
              <w:t>申报理由：</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ind w:firstLine="3720" w:firstLineChars="1550"/>
              <w:rPr>
                <w:rFonts w:hint="eastAsia" w:ascii="宋体" w:hAnsi="宋体"/>
                <w:sz w:val="24"/>
              </w:rPr>
            </w:pPr>
          </w:p>
          <w:p>
            <w:pPr>
              <w:ind w:firstLine="3720" w:firstLineChars="1550"/>
              <w:rPr>
                <w:rFonts w:hint="eastAsia" w:ascii="宋体" w:hAnsi="宋体"/>
                <w:sz w:val="24"/>
              </w:rPr>
            </w:pPr>
          </w:p>
          <w:p>
            <w:pPr>
              <w:ind w:firstLine="3720" w:firstLineChars="1550"/>
              <w:rPr>
                <w:rFonts w:hint="eastAsia" w:ascii="宋体" w:hAnsi="宋体"/>
                <w:sz w:val="24"/>
              </w:rPr>
            </w:pPr>
          </w:p>
          <w:p>
            <w:pPr>
              <w:ind w:firstLine="3720" w:firstLineChars="1550"/>
              <w:rPr>
                <w:rFonts w:hint="eastAsia" w:ascii="宋体" w:hAnsi="宋体"/>
                <w:sz w:val="24"/>
              </w:rPr>
            </w:pPr>
          </w:p>
          <w:p>
            <w:pPr>
              <w:ind w:firstLine="3720" w:firstLineChars="1550"/>
              <w:rPr>
                <w:rFonts w:hint="eastAsia" w:ascii="宋体" w:hAnsi="宋体"/>
                <w:sz w:val="24"/>
              </w:rPr>
            </w:pPr>
          </w:p>
        </w:tc>
      </w:tr>
    </w:tbl>
    <w:p>
      <w:pPr>
        <w:ind w:firstLine="315" w:firstLineChars="150"/>
        <w:rPr>
          <w:rFonts w:hint="eastAsia" w:ascii="宋体" w:hAnsi="宋体"/>
        </w:rPr>
      </w:pPr>
    </w:p>
    <w:tbl>
      <w:tblPr>
        <w:tblStyle w:val="6"/>
        <w:tblpPr w:leftFromText="180" w:rightFromText="180" w:vertAnchor="text" w:horzAnchor="margin" w:tblpXSpec="center" w:tblpY="2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46" w:type="dxa"/>
            <w:noWrap w:val="0"/>
            <w:vAlign w:val="top"/>
          </w:tcPr>
          <w:p>
            <w:pPr>
              <w:rPr>
                <w:rFonts w:hint="eastAsia" w:ascii="宋体" w:hAnsi="宋体"/>
                <w:sz w:val="24"/>
              </w:rPr>
            </w:pPr>
            <w:r>
              <w:rPr>
                <w:rFonts w:hint="eastAsia" w:ascii="宋体" w:hAnsi="宋体"/>
                <w:sz w:val="24"/>
              </w:rPr>
              <w:t>本项目中本省主要参建单位建议表彰名单（包括：推荐拟表彰单位及在本项目中承担的工程任务）</w:t>
            </w:r>
          </w:p>
          <w:tbl>
            <w:tblPr>
              <w:tblStyle w:val="6"/>
              <w:tblW w:w="0" w:type="auto"/>
              <w:tblInd w:w="0" w:type="dxa"/>
              <w:tblLayout w:type="fixed"/>
              <w:tblCellMar>
                <w:top w:w="0" w:type="dxa"/>
                <w:left w:w="108" w:type="dxa"/>
                <w:bottom w:w="0" w:type="dxa"/>
                <w:right w:w="108" w:type="dxa"/>
              </w:tblCellMar>
            </w:tblPr>
            <w:tblGrid>
              <w:gridCol w:w="4362"/>
              <w:gridCol w:w="4363"/>
            </w:tblGrid>
            <w:tr>
              <w:tblPrEx>
                <w:tblCellMar>
                  <w:top w:w="0" w:type="dxa"/>
                  <w:left w:w="108" w:type="dxa"/>
                  <w:bottom w:w="0" w:type="dxa"/>
                  <w:right w:w="108" w:type="dxa"/>
                </w:tblCellMar>
              </w:tblPrEx>
              <w:trPr>
                <w:trHeight w:val="680" w:hRule="exact"/>
              </w:trPr>
              <w:tc>
                <w:tcPr>
                  <w:tcW w:w="4362" w:type="dxa"/>
                  <w:noWrap w:val="0"/>
                  <w:vAlign w:val="center"/>
                </w:tcPr>
                <w:p>
                  <w:pPr>
                    <w:jc w:val="center"/>
                    <w:rPr>
                      <w:rFonts w:hint="eastAsia" w:ascii="宋体" w:hAnsi="宋体"/>
                      <w:sz w:val="24"/>
                    </w:rPr>
                  </w:pPr>
                </w:p>
              </w:tc>
              <w:tc>
                <w:tcPr>
                  <w:tcW w:w="4363" w:type="dxa"/>
                  <w:noWrap w:val="0"/>
                  <w:vAlign w:val="center"/>
                </w:tcPr>
                <w:p>
                  <w:pPr>
                    <w:rPr>
                      <w:rFonts w:hint="eastAsia" w:ascii="宋体" w:hAnsi="宋体"/>
                      <w:sz w:val="24"/>
                    </w:rPr>
                  </w:pPr>
                </w:p>
              </w:tc>
            </w:tr>
            <w:tr>
              <w:tblPrEx>
                <w:tblCellMar>
                  <w:top w:w="0" w:type="dxa"/>
                  <w:left w:w="108" w:type="dxa"/>
                  <w:bottom w:w="0" w:type="dxa"/>
                  <w:right w:w="108" w:type="dxa"/>
                </w:tblCellMar>
              </w:tblPrEx>
              <w:trPr>
                <w:trHeight w:val="680" w:hRule="exact"/>
              </w:trPr>
              <w:tc>
                <w:tcPr>
                  <w:tcW w:w="4362" w:type="dxa"/>
                  <w:noWrap w:val="0"/>
                  <w:vAlign w:val="top"/>
                </w:tcPr>
                <w:p>
                  <w:pPr>
                    <w:rPr>
                      <w:rFonts w:hint="eastAsia" w:ascii="宋体" w:hAnsi="宋体"/>
                      <w:sz w:val="24"/>
                    </w:rPr>
                  </w:pPr>
                </w:p>
              </w:tc>
              <w:tc>
                <w:tcPr>
                  <w:tcW w:w="4363" w:type="dxa"/>
                  <w:noWrap w:val="0"/>
                  <w:vAlign w:val="top"/>
                </w:tcPr>
                <w:p>
                  <w:pPr>
                    <w:rPr>
                      <w:rFonts w:hint="eastAsia" w:ascii="宋体" w:hAnsi="宋体"/>
                      <w:sz w:val="24"/>
                    </w:rPr>
                  </w:pPr>
                </w:p>
              </w:tc>
            </w:tr>
            <w:tr>
              <w:tblPrEx>
                <w:tblCellMar>
                  <w:top w:w="0" w:type="dxa"/>
                  <w:left w:w="108" w:type="dxa"/>
                  <w:bottom w:w="0" w:type="dxa"/>
                  <w:right w:w="108" w:type="dxa"/>
                </w:tblCellMar>
              </w:tblPrEx>
              <w:trPr>
                <w:trHeight w:val="680" w:hRule="exact"/>
              </w:trPr>
              <w:tc>
                <w:tcPr>
                  <w:tcW w:w="4362" w:type="dxa"/>
                  <w:noWrap w:val="0"/>
                  <w:vAlign w:val="top"/>
                </w:tcPr>
                <w:p>
                  <w:pPr>
                    <w:rPr>
                      <w:rFonts w:hint="eastAsia" w:ascii="宋体" w:hAnsi="宋体"/>
                      <w:sz w:val="24"/>
                    </w:rPr>
                  </w:pPr>
                </w:p>
              </w:tc>
              <w:tc>
                <w:tcPr>
                  <w:tcW w:w="4363" w:type="dxa"/>
                  <w:noWrap w:val="0"/>
                  <w:vAlign w:val="top"/>
                </w:tcPr>
                <w:p>
                  <w:pPr>
                    <w:rPr>
                      <w:rFonts w:hint="eastAsia" w:ascii="宋体" w:hAnsi="宋体"/>
                      <w:sz w:val="24"/>
                    </w:rPr>
                  </w:pPr>
                </w:p>
              </w:tc>
            </w:tr>
            <w:tr>
              <w:tblPrEx>
                <w:tblCellMar>
                  <w:top w:w="0" w:type="dxa"/>
                  <w:left w:w="108" w:type="dxa"/>
                  <w:bottom w:w="0" w:type="dxa"/>
                  <w:right w:w="108" w:type="dxa"/>
                </w:tblCellMar>
              </w:tblPrEx>
              <w:trPr>
                <w:trHeight w:val="680" w:hRule="exact"/>
              </w:trPr>
              <w:tc>
                <w:tcPr>
                  <w:tcW w:w="4362" w:type="dxa"/>
                  <w:noWrap w:val="0"/>
                  <w:vAlign w:val="top"/>
                </w:tcPr>
                <w:p>
                  <w:pPr>
                    <w:rPr>
                      <w:rFonts w:hint="eastAsia" w:ascii="宋体" w:hAnsi="宋体"/>
                      <w:sz w:val="24"/>
                    </w:rPr>
                  </w:pPr>
                </w:p>
              </w:tc>
              <w:tc>
                <w:tcPr>
                  <w:tcW w:w="4363" w:type="dxa"/>
                  <w:noWrap w:val="0"/>
                  <w:vAlign w:val="top"/>
                </w:tcPr>
                <w:p>
                  <w:pPr>
                    <w:rPr>
                      <w:rFonts w:hint="eastAsia" w:ascii="宋体" w:hAnsi="宋体"/>
                      <w:sz w:val="24"/>
                    </w:rPr>
                  </w:pPr>
                </w:p>
              </w:tc>
            </w:tr>
            <w:tr>
              <w:tblPrEx>
                <w:tblCellMar>
                  <w:top w:w="0" w:type="dxa"/>
                  <w:left w:w="108" w:type="dxa"/>
                  <w:bottom w:w="0" w:type="dxa"/>
                  <w:right w:w="108" w:type="dxa"/>
                </w:tblCellMar>
              </w:tblPrEx>
              <w:trPr>
                <w:trHeight w:val="680" w:hRule="exact"/>
              </w:trPr>
              <w:tc>
                <w:tcPr>
                  <w:tcW w:w="4362" w:type="dxa"/>
                  <w:noWrap w:val="0"/>
                  <w:vAlign w:val="top"/>
                </w:tcPr>
                <w:p>
                  <w:pPr>
                    <w:rPr>
                      <w:rFonts w:hint="eastAsia" w:ascii="宋体" w:hAnsi="宋体"/>
                      <w:sz w:val="24"/>
                    </w:rPr>
                  </w:pPr>
                </w:p>
              </w:tc>
              <w:tc>
                <w:tcPr>
                  <w:tcW w:w="4363" w:type="dxa"/>
                  <w:noWrap w:val="0"/>
                  <w:vAlign w:val="top"/>
                </w:tcPr>
                <w:p>
                  <w:pPr>
                    <w:rPr>
                      <w:rFonts w:hint="eastAsia" w:ascii="宋体" w:hAnsi="宋体"/>
                      <w:sz w:val="24"/>
                    </w:rPr>
                  </w:pPr>
                </w:p>
              </w:tc>
            </w:tr>
            <w:tr>
              <w:tblPrEx>
                <w:tblCellMar>
                  <w:top w:w="0" w:type="dxa"/>
                  <w:left w:w="108" w:type="dxa"/>
                  <w:bottom w:w="0" w:type="dxa"/>
                  <w:right w:w="108" w:type="dxa"/>
                </w:tblCellMar>
              </w:tblPrEx>
              <w:trPr>
                <w:trHeight w:val="680" w:hRule="exact"/>
              </w:trPr>
              <w:tc>
                <w:tcPr>
                  <w:tcW w:w="4362" w:type="dxa"/>
                  <w:noWrap w:val="0"/>
                  <w:vAlign w:val="top"/>
                </w:tcPr>
                <w:p>
                  <w:pPr>
                    <w:rPr>
                      <w:rFonts w:hint="eastAsia" w:ascii="宋体" w:hAnsi="宋体"/>
                      <w:sz w:val="24"/>
                    </w:rPr>
                  </w:pPr>
                </w:p>
              </w:tc>
              <w:tc>
                <w:tcPr>
                  <w:tcW w:w="4363" w:type="dxa"/>
                  <w:noWrap w:val="0"/>
                  <w:vAlign w:val="top"/>
                </w:tcPr>
                <w:p>
                  <w:pPr>
                    <w:rPr>
                      <w:rFonts w:hint="eastAsia" w:ascii="宋体" w:hAnsi="宋体"/>
                      <w:sz w:val="24"/>
                    </w:rPr>
                  </w:pPr>
                </w:p>
              </w:tc>
            </w:tr>
            <w:tr>
              <w:tblPrEx>
                <w:tblCellMar>
                  <w:top w:w="0" w:type="dxa"/>
                  <w:left w:w="108" w:type="dxa"/>
                  <w:bottom w:w="0" w:type="dxa"/>
                  <w:right w:w="108" w:type="dxa"/>
                </w:tblCellMar>
              </w:tblPrEx>
              <w:trPr>
                <w:trHeight w:val="680" w:hRule="exact"/>
              </w:trPr>
              <w:tc>
                <w:tcPr>
                  <w:tcW w:w="4362" w:type="dxa"/>
                  <w:noWrap w:val="0"/>
                  <w:vAlign w:val="top"/>
                </w:tcPr>
                <w:p>
                  <w:pPr>
                    <w:rPr>
                      <w:rFonts w:hint="eastAsia" w:ascii="宋体" w:hAnsi="宋体"/>
                      <w:sz w:val="24"/>
                    </w:rPr>
                  </w:pPr>
                </w:p>
              </w:tc>
              <w:tc>
                <w:tcPr>
                  <w:tcW w:w="4363" w:type="dxa"/>
                  <w:noWrap w:val="0"/>
                  <w:vAlign w:val="top"/>
                </w:tcPr>
                <w:p>
                  <w:pPr>
                    <w:rPr>
                      <w:rFonts w:hint="eastAsia" w:ascii="宋体" w:hAnsi="宋体"/>
                      <w:sz w:val="24"/>
                    </w:rPr>
                  </w:pPr>
                </w:p>
              </w:tc>
            </w:tr>
            <w:tr>
              <w:tblPrEx>
                <w:tblCellMar>
                  <w:top w:w="0" w:type="dxa"/>
                  <w:left w:w="108" w:type="dxa"/>
                  <w:bottom w:w="0" w:type="dxa"/>
                  <w:right w:w="108" w:type="dxa"/>
                </w:tblCellMar>
              </w:tblPrEx>
              <w:trPr>
                <w:trHeight w:val="680" w:hRule="exact"/>
              </w:trPr>
              <w:tc>
                <w:tcPr>
                  <w:tcW w:w="4362" w:type="dxa"/>
                  <w:noWrap w:val="0"/>
                  <w:vAlign w:val="top"/>
                </w:tcPr>
                <w:p>
                  <w:pPr>
                    <w:rPr>
                      <w:rFonts w:hint="eastAsia" w:ascii="宋体" w:hAnsi="宋体"/>
                      <w:sz w:val="24"/>
                    </w:rPr>
                  </w:pPr>
                </w:p>
              </w:tc>
              <w:tc>
                <w:tcPr>
                  <w:tcW w:w="4363" w:type="dxa"/>
                  <w:noWrap w:val="0"/>
                  <w:vAlign w:val="top"/>
                </w:tcPr>
                <w:p>
                  <w:pPr>
                    <w:rPr>
                      <w:rFonts w:hint="eastAsia" w:ascii="宋体" w:hAnsi="宋体"/>
                      <w:sz w:val="24"/>
                    </w:rPr>
                  </w:pPr>
                </w:p>
              </w:tc>
            </w:tr>
            <w:tr>
              <w:tblPrEx>
                <w:tblCellMar>
                  <w:top w:w="0" w:type="dxa"/>
                  <w:left w:w="108" w:type="dxa"/>
                  <w:bottom w:w="0" w:type="dxa"/>
                  <w:right w:w="108" w:type="dxa"/>
                </w:tblCellMar>
              </w:tblPrEx>
              <w:trPr>
                <w:trHeight w:val="680" w:hRule="exact"/>
              </w:trPr>
              <w:tc>
                <w:tcPr>
                  <w:tcW w:w="4362" w:type="dxa"/>
                  <w:noWrap w:val="0"/>
                  <w:vAlign w:val="top"/>
                </w:tcPr>
                <w:p>
                  <w:pPr>
                    <w:rPr>
                      <w:rFonts w:hint="eastAsia" w:ascii="宋体" w:hAnsi="宋体"/>
                      <w:sz w:val="24"/>
                    </w:rPr>
                  </w:pPr>
                </w:p>
              </w:tc>
              <w:tc>
                <w:tcPr>
                  <w:tcW w:w="4363" w:type="dxa"/>
                  <w:noWrap w:val="0"/>
                  <w:vAlign w:val="top"/>
                </w:tcPr>
                <w:p>
                  <w:pPr>
                    <w:rPr>
                      <w:rFonts w:hint="eastAsia" w:ascii="宋体" w:hAnsi="宋体"/>
                      <w:sz w:val="24"/>
                    </w:rPr>
                  </w:pPr>
                </w:p>
              </w:tc>
            </w:tr>
            <w:tr>
              <w:tblPrEx>
                <w:tblCellMar>
                  <w:top w:w="0" w:type="dxa"/>
                  <w:left w:w="108" w:type="dxa"/>
                  <w:bottom w:w="0" w:type="dxa"/>
                  <w:right w:w="108" w:type="dxa"/>
                </w:tblCellMar>
              </w:tblPrEx>
              <w:trPr>
                <w:trHeight w:val="680" w:hRule="exact"/>
              </w:trPr>
              <w:tc>
                <w:tcPr>
                  <w:tcW w:w="4362" w:type="dxa"/>
                  <w:noWrap w:val="0"/>
                  <w:vAlign w:val="top"/>
                </w:tcPr>
                <w:p>
                  <w:pPr>
                    <w:rPr>
                      <w:rFonts w:hint="eastAsia" w:ascii="宋体" w:hAnsi="宋体"/>
                      <w:sz w:val="24"/>
                    </w:rPr>
                  </w:pPr>
                </w:p>
              </w:tc>
              <w:tc>
                <w:tcPr>
                  <w:tcW w:w="4363" w:type="dxa"/>
                  <w:noWrap w:val="0"/>
                  <w:vAlign w:val="top"/>
                </w:tcPr>
                <w:p>
                  <w:pPr>
                    <w:rPr>
                      <w:rFonts w:hint="eastAsia" w:ascii="宋体" w:hAnsi="宋体"/>
                      <w:sz w:val="24"/>
                    </w:rPr>
                  </w:pPr>
                </w:p>
              </w:tc>
            </w:tr>
            <w:tr>
              <w:tblPrEx>
                <w:tblCellMar>
                  <w:top w:w="0" w:type="dxa"/>
                  <w:left w:w="108" w:type="dxa"/>
                  <w:bottom w:w="0" w:type="dxa"/>
                  <w:right w:w="108" w:type="dxa"/>
                </w:tblCellMar>
              </w:tblPrEx>
              <w:trPr>
                <w:trHeight w:val="680" w:hRule="exact"/>
              </w:trPr>
              <w:tc>
                <w:tcPr>
                  <w:tcW w:w="4362" w:type="dxa"/>
                  <w:noWrap w:val="0"/>
                  <w:vAlign w:val="top"/>
                </w:tcPr>
                <w:p>
                  <w:pPr>
                    <w:rPr>
                      <w:rFonts w:hint="eastAsia" w:ascii="宋体" w:hAnsi="宋体"/>
                      <w:sz w:val="24"/>
                    </w:rPr>
                  </w:pPr>
                </w:p>
              </w:tc>
              <w:tc>
                <w:tcPr>
                  <w:tcW w:w="4363" w:type="dxa"/>
                  <w:noWrap w:val="0"/>
                  <w:vAlign w:val="top"/>
                </w:tcPr>
                <w:p>
                  <w:pPr>
                    <w:rPr>
                      <w:rFonts w:hint="eastAsia" w:ascii="宋体" w:hAnsi="宋体"/>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ind w:firstLine="3960" w:firstLineChars="1650"/>
              <w:rPr>
                <w:rFonts w:hint="eastAsia" w:ascii="宋体" w:hAnsi="宋体"/>
                <w:sz w:val="24"/>
              </w:rPr>
            </w:pPr>
            <w:r>
              <w:rPr>
                <w:rFonts w:hint="eastAsia" w:ascii="宋体" w:hAnsi="宋体"/>
                <w:sz w:val="24"/>
              </w:rPr>
              <w:t>申报单位盖章          年   月   日</w:t>
            </w:r>
          </w:p>
          <w:p>
            <w:pPr>
              <w:rPr>
                <w:rFonts w:hint="eastAsia" w:ascii="宋体" w:hAnsi="宋体"/>
                <w:sz w:val="24"/>
              </w:rPr>
            </w:pPr>
          </w:p>
          <w:p>
            <w:pPr>
              <w:ind w:firstLine="3960" w:firstLineChars="1650"/>
              <w:rPr>
                <w:rFonts w:hint="eastAsia" w:ascii="宋体" w:hAnsi="宋体"/>
                <w:sz w:val="24"/>
              </w:rPr>
            </w:pPr>
          </w:p>
          <w:p>
            <w:pPr>
              <w:rPr>
                <w:rFonts w:hint="eastAsia" w:ascii="宋体" w:hAnsi="宋体"/>
                <w:sz w:val="24"/>
              </w:rPr>
            </w:pPr>
          </w:p>
          <w:p>
            <w:pPr>
              <w:ind w:firstLine="3960" w:firstLineChars="1650"/>
              <w:rPr>
                <w:rFonts w:hint="eastAsia" w:ascii="宋体" w:hAnsi="宋体"/>
                <w:sz w:val="24"/>
              </w:rPr>
            </w:pPr>
          </w:p>
        </w:tc>
      </w:tr>
    </w:tbl>
    <w:p>
      <w:pPr>
        <w:rPr>
          <w:rFonts w:hint="eastAsia" w:ascii="宋体" w:hAnsi="宋体"/>
          <w:sz w:val="24"/>
        </w:rPr>
      </w:pPr>
      <w:r>
        <w:rPr>
          <w:rFonts w:hint="eastAsia" w:ascii="宋体" w:hAnsi="宋体"/>
          <w:sz w:val="24"/>
        </w:rPr>
        <w:t>申报理由：</w:t>
      </w:r>
    </w:p>
    <w:p>
      <w:pPr>
        <w:rPr>
          <w:rFonts w:hint="eastAsia" w:ascii="宋体" w:hAnsi="宋体"/>
        </w:rPr>
      </w:pPr>
      <w:r>
        <w:rPr>
          <w:rFonts w:hint="eastAsia" w:ascii="宋体" w:hAnsi="宋体"/>
          <w:sz w:val="24"/>
        </w:rPr>
        <w:t>填写说明</w:t>
      </w:r>
      <w:r>
        <w:rPr>
          <w:rFonts w:hint="eastAsia" w:ascii="宋体" w:hAnsi="宋体"/>
        </w:rPr>
        <w:t>：</w:t>
      </w:r>
    </w:p>
    <w:p>
      <w:pPr>
        <w:rPr>
          <w:rFonts w:hint="eastAsia" w:ascii="宋体" w:hAnsi="宋体"/>
        </w:rPr>
      </w:pPr>
      <w:r>
        <w:rPr>
          <w:rFonts w:hint="eastAsia" w:ascii="宋体" w:hAnsi="宋体"/>
        </w:rPr>
        <w:t>1、重点阐明申报项目的特点、先进的管理理念、管理成果及技术创新情况；</w:t>
      </w:r>
    </w:p>
    <w:p>
      <w:pPr>
        <w:rPr>
          <w:rFonts w:hint="eastAsia" w:ascii="宋体" w:hAnsi="宋体"/>
        </w:rPr>
      </w:pPr>
      <w:r>
        <w:rPr>
          <w:rFonts w:hint="eastAsia" w:ascii="宋体" w:hAnsi="宋体"/>
        </w:rPr>
        <w:t>2、内容要翔实，文字表述要简练，控制在1500字左右。</w:t>
      </w:r>
    </w:p>
    <w:p>
      <w:pPr>
        <w:rPr>
          <w:rFonts w:hint="eastAsia" w:ascii="宋体" w:hAnsi="宋体"/>
        </w:rPr>
      </w:pPr>
      <w:r>
        <w:rPr>
          <w:rFonts w:hint="eastAsia" w:ascii="宋体" w:hAnsi="宋体"/>
        </w:rPr>
        <w:t>3、如表格容量不够，可在原位置增加附页。</w:t>
      </w:r>
    </w:p>
    <w:p>
      <w:pPr>
        <w:rPr>
          <w:rFonts w:hint="eastAsia" w:ascii="宋体" w:hAnsi="宋体"/>
        </w:rPr>
      </w:pPr>
    </w:p>
    <w:tbl>
      <w:tblPr>
        <w:tblStyle w:val="6"/>
        <w:tblW w:w="0" w:type="auto"/>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trPr>
        <w:tc>
          <w:tcPr>
            <w:tcW w:w="8820" w:type="dxa"/>
            <w:noWrap w:val="0"/>
            <w:vAlign w:val="top"/>
          </w:tcPr>
          <w:p>
            <w:pPr>
              <w:rPr>
                <w:rFonts w:hint="eastAsia" w:ascii="宋体" w:hAnsi="宋体"/>
                <w:sz w:val="24"/>
              </w:rPr>
            </w:pPr>
            <w:r>
              <w:rPr>
                <w:rFonts w:hint="eastAsia" w:ascii="宋体" w:hAnsi="宋体"/>
                <w:sz w:val="24"/>
              </w:rPr>
              <w:t>市级以上行业或项目主管部门推荐意见：</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r>
              <w:rPr>
                <w:rFonts w:hint="eastAsia" w:ascii="宋体" w:hAnsi="宋体"/>
              </w:rPr>
              <w:t xml:space="preserve">           </w:t>
            </w:r>
          </w:p>
          <w:p>
            <w:pPr>
              <w:ind w:firstLine="4080" w:firstLineChars="1700"/>
              <w:rPr>
                <w:rFonts w:hint="eastAsia" w:ascii="宋体" w:hAnsi="宋体"/>
                <w:sz w:val="24"/>
              </w:rPr>
            </w:pPr>
          </w:p>
          <w:p>
            <w:pPr>
              <w:ind w:firstLine="4080" w:firstLineChars="1700"/>
              <w:rPr>
                <w:rFonts w:hint="eastAsia" w:ascii="宋体" w:hAnsi="宋体"/>
                <w:sz w:val="24"/>
              </w:rPr>
            </w:pPr>
          </w:p>
          <w:p>
            <w:pPr>
              <w:ind w:firstLine="4080" w:firstLineChars="1700"/>
              <w:rPr>
                <w:rFonts w:hint="eastAsia" w:ascii="宋体" w:hAnsi="宋体"/>
                <w:sz w:val="24"/>
              </w:rPr>
            </w:pPr>
          </w:p>
          <w:p>
            <w:pPr>
              <w:ind w:firstLine="4080" w:firstLineChars="1700"/>
              <w:rPr>
                <w:rFonts w:hint="eastAsia" w:ascii="宋体" w:hAnsi="宋体"/>
              </w:rPr>
            </w:pPr>
            <w:r>
              <w:rPr>
                <w:rFonts w:hint="eastAsia" w:ascii="宋体" w:hAnsi="宋体"/>
                <w:sz w:val="24"/>
              </w:rPr>
              <w:t xml:space="preserve">单位盖章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3" w:hRule="atLeast"/>
        </w:trPr>
        <w:tc>
          <w:tcPr>
            <w:tcW w:w="8820" w:type="dxa"/>
            <w:noWrap w:val="0"/>
            <w:vAlign w:val="top"/>
          </w:tcPr>
          <w:p>
            <w:pPr>
              <w:rPr>
                <w:rFonts w:hint="eastAsia" w:ascii="宋体" w:hAnsi="宋体"/>
                <w:sz w:val="24"/>
              </w:rPr>
            </w:pPr>
          </w:p>
          <w:p>
            <w:pPr>
              <w:rPr>
                <w:rFonts w:hint="eastAsia" w:ascii="宋体" w:hAnsi="宋体"/>
                <w:sz w:val="24"/>
              </w:rPr>
            </w:pPr>
            <w:r>
              <w:rPr>
                <w:rFonts w:hint="eastAsia" w:ascii="宋体" w:hAnsi="宋体"/>
                <w:sz w:val="24"/>
              </w:rPr>
              <w:t>质量监督部门审查意见：</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                                  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3" w:hRule="atLeast"/>
        </w:trPr>
        <w:tc>
          <w:tcPr>
            <w:tcW w:w="8820" w:type="dxa"/>
            <w:noWrap w:val="0"/>
            <w:vAlign w:val="top"/>
          </w:tcPr>
          <w:p>
            <w:pPr>
              <w:rPr>
                <w:rFonts w:hint="eastAsia" w:ascii="宋体" w:hAnsi="宋体"/>
                <w:sz w:val="24"/>
              </w:rPr>
            </w:pPr>
          </w:p>
          <w:p>
            <w:pPr>
              <w:rPr>
                <w:rFonts w:hint="eastAsia" w:ascii="宋体" w:hAnsi="宋体"/>
                <w:sz w:val="24"/>
              </w:rPr>
            </w:pPr>
            <w:r>
              <w:rPr>
                <w:rFonts w:hint="eastAsia" w:ascii="宋体" w:hAnsi="宋体"/>
                <w:sz w:val="24"/>
                <w:szCs w:val="28"/>
              </w:rPr>
              <w:t>专业评审组</w:t>
            </w:r>
            <w:r>
              <w:rPr>
                <w:rFonts w:hint="eastAsia" w:ascii="宋体" w:hAnsi="宋体"/>
                <w:sz w:val="24"/>
              </w:rPr>
              <w:t>意见：</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ind w:firstLine="3120" w:firstLineChars="1300"/>
              <w:rPr>
                <w:rFonts w:hint="eastAsia" w:ascii="宋体" w:hAnsi="宋体"/>
                <w:sz w:val="24"/>
              </w:rPr>
            </w:pPr>
            <w:r>
              <w:rPr>
                <w:rFonts w:hint="eastAsia" w:ascii="宋体" w:hAnsi="宋体"/>
                <w:sz w:val="24"/>
                <w:szCs w:val="28"/>
              </w:rPr>
              <w:t>专业评审组负责人签名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7" w:hRule="atLeast"/>
        </w:trPr>
        <w:tc>
          <w:tcPr>
            <w:tcW w:w="8820" w:type="dxa"/>
            <w:noWrap w:val="0"/>
            <w:vAlign w:val="top"/>
          </w:tcPr>
          <w:p>
            <w:pPr>
              <w:rPr>
                <w:rFonts w:hint="eastAsia" w:ascii="宋体" w:hAnsi="宋体"/>
                <w:sz w:val="24"/>
              </w:rPr>
            </w:pPr>
          </w:p>
          <w:p>
            <w:pPr>
              <w:rPr>
                <w:rFonts w:hint="eastAsia" w:ascii="宋体" w:hAnsi="宋体"/>
                <w:sz w:val="24"/>
              </w:rPr>
            </w:pPr>
            <w:r>
              <w:rPr>
                <w:rFonts w:hint="eastAsia" w:ascii="宋体" w:hAnsi="宋体"/>
                <w:sz w:val="24"/>
              </w:rPr>
              <w:t>评审委员会审定意见：</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ind w:firstLine="3120" w:firstLineChars="1300"/>
              <w:rPr>
                <w:rFonts w:hint="eastAsia" w:ascii="宋体" w:hAnsi="宋体"/>
                <w:sz w:val="24"/>
              </w:rPr>
            </w:pPr>
            <w:r>
              <w:rPr>
                <w:rFonts w:hint="eastAsia" w:ascii="宋体" w:hAnsi="宋体"/>
                <w:sz w:val="24"/>
              </w:rPr>
              <w:t xml:space="preserve">评审委员会负责人签名       年   月   日 </w:t>
            </w:r>
          </w:p>
        </w:tc>
      </w:tr>
    </w:tbl>
    <w:p>
      <w:pPr>
        <w:spacing w:line="440" w:lineRule="exact"/>
        <w:rPr>
          <w:rFonts w:hint="eastAsia" w:ascii="华文仿宋" w:hAnsi="华文仿宋" w:eastAsia="华文仿宋"/>
          <w:sz w:val="30"/>
          <w:szCs w:val="30"/>
        </w:rPr>
      </w:pPr>
    </w:p>
    <w:sectPr>
      <w:footerReference r:id="rId3" w:type="default"/>
      <w:pgSz w:w="11850" w:h="16783"/>
      <w:pgMar w:top="794" w:right="1418" w:bottom="794" w:left="1418" w:header="794" w:footer="850" w:gutter="0"/>
      <w:pgNumType w:start="1"/>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宋体-18030">
    <w:altName w:val="微软雅黑"/>
    <w:panose1 w:val="02010609060101010101"/>
    <w:charset w:val="86"/>
    <w:family w:val="modern"/>
    <w:pitch w:val="default"/>
    <w:sig w:usb0="00000000" w:usb1="00000000" w:usb2="000A005E" w:usb3="00000000" w:csb0="00040001" w:csb1="00000000"/>
  </w:font>
  <w:font w:name="Arial">
    <w:panose1 w:val="020B0604020202020204"/>
    <w:charset w:val="00"/>
    <w:family w:val="roman"/>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fldChar w:fldCharType="begin"/>
                          </w:r>
                          <w:r>
                            <w:instrText xml:space="preserve">PAGE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r>
                      <w:fldChar w:fldCharType="begin"/>
                    </w:r>
                    <w:r>
                      <w:instrText xml:space="preserve">PAGE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4B258F"/>
    <w:multiLevelType w:val="singleLevel"/>
    <w:tmpl w:val="AE4B258F"/>
    <w:lvl w:ilvl="0" w:tentative="0">
      <w:start w:val="5"/>
      <w:numFmt w:val="chineseCounting"/>
      <w:suff w:val="nothing"/>
      <w:lvlText w:val="（%1）"/>
      <w:lvlJc w:val="left"/>
      <w:rPr>
        <w:rFonts w:hint="eastAsia"/>
      </w:rPr>
    </w:lvl>
  </w:abstractNum>
  <w:abstractNum w:abstractNumId="1">
    <w:nsid w:val="6AA09C36"/>
    <w:multiLevelType w:val="singleLevel"/>
    <w:tmpl w:val="6AA09C36"/>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0"/>
  <w:drawingGridVerticalSpacing w:val="204"/>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219"/>
    <w:rsid w:val="00001BEB"/>
    <w:rsid w:val="00003DB6"/>
    <w:rsid w:val="0002694D"/>
    <w:rsid w:val="000313D2"/>
    <w:rsid w:val="00057870"/>
    <w:rsid w:val="00067527"/>
    <w:rsid w:val="00077AF9"/>
    <w:rsid w:val="00080B85"/>
    <w:rsid w:val="000A06D3"/>
    <w:rsid w:val="000A440C"/>
    <w:rsid w:val="000A5A3C"/>
    <w:rsid w:val="000C6E09"/>
    <w:rsid w:val="000D51F9"/>
    <w:rsid w:val="000D5CFD"/>
    <w:rsid w:val="000E4C91"/>
    <w:rsid w:val="000E5C3F"/>
    <w:rsid w:val="000F6B85"/>
    <w:rsid w:val="001036CE"/>
    <w:rsid w:val="001134F6"/>
    <w:rsid w:val="00125B7A"/>
    <w:rsid w:val="00132B62"/>
    <w:rsid w:val="00136017"/>
    <w:rsid w:val="0014482B"/>
    <w:rsid w:val="001652FC"/>
    <w:rsid w:val="0016669F"/>
    <w:rsid w:val="0017065F"/>
    <w:rsid w:val="00180EC1"/>
    <w:rsid w:val="001870E6"/>
    <w:rsid w:val="001A1DA8"/>
    <w:rsid w:val="001A43A3"/>
    <w:rsid w:val="001A55F9"/>
    <w:rsid w:val="001B7E60"/>
    <w:rsid w:val="001C06E2"/>
    <w:rsid w:val="001D2A08"/>
    <w:rsid w:val="001F0FE6"/>
    <w:rsid w:val="001F10ED"/>
    <w:rsid w:val="002006A8"/>
    <w:rsid w:val="00214648"/>
    <w:rsid w:val="0021547E"/>
    <w:rsid w:val="00243269"/>
    <w:rsid w:val="002505EB"/>
    <w:rsid w:val="00260B05"/>
    <w:rsid w:val="00276D26"/>
    <w:rsid w:val="00286DB4"/>
    <w:rsid w:val="0029131B"/>
    <w:rsid w:val="002A4D0E"/>
    <w:rsid w:val="002C6217"/>
    <w:rsid w:val="002C66D4"/>
    <w:rsid w:val="002D169C"/>
    <w:rsid w:val="002D6808"/>
    <w:rsid w:val="002E3657"/>
    <w:rsid w:val="002E4C05"/>
    <w:rsid w:val="002F35B5"/>
    <w:rsid w:val="0031419D"/>
    <w:rsid w:val="00356802"/>
    <w:rsid w:val="003705D3"/>
    <w:rsid w:val="00370AF8"/>
    <w:rsid w:val="00396909"/>
    <w:rsid w:val="003A1B62"/>
    <w:rsid w:val="003A7EC3"/>
    <w:rsid w:val="003B0219"/>
    <w:rsid w:val="003B4BAB"/>
    <w:rsid w:val="003D5431"/>
    <w:rsid w:val="003F4985"/>
    <w:rsid w:val="003F5D16"/>
    <w:rsid w:val="0040417A"/>
    <w:rsid w:val="0041634F"/>
    <w:rsid w:val="004226FF"/>
    <w:rsid w:val="00450E4D"/>
    <w:rsid w:val="00451F78"/>
    <w:rsid w:val="00480A00"/>
    <w:rsid w:val="00481A94"/>
    <w:rsid w:val="00491DC1"/>
    <w:rsid w:val="004923AA"/>
    <w:rsid w:val="004E45B1"/>
    <w:rsid w:val="004F05BC"/>
    <w:rsid w:val="004F1920"/>
    <w:rsid w:val="004F3C63"/>
    <w:rsid w:val="004F5093"/>
    <w:rsid w:val="005035CC"/>
    <w:rsid w:val="00523EBA"/>
    <w:rsid w:val="00525225"/>
    <w:rsid w:val="00543429"/>
    <w:rsid w:val="005502F3"/>
    <w:rsid w:val="005604D5"/>
    <w:rsid w:val="00582438"/>
    <w:rsid w:val="005858D6"/>
    <w:rsid w:val="005C34EA"/>
    <w:rsid w:val="005D0589"/>
    <w:rsid w:val="005D08BC"/>
    <w:rsid w:val="005D1FF6"/>
    <w:rsid w:val="005E593B"/>
    <w:rsid w:val="00602383"/>
    <w:rsid w:val="00625297"/>
    <w:rsid w:val="00626128"/>
    <w:rsid w:val="00637750"/>
    <w:rsid w:val="006404C3"/>
    <w:rsid w:val="006909E4"/>
    <w:rsid w:val="00690AAC"/>
    <w:rsid w:val="00694163"/>
    <w:rsid w:val="006968F1"/>
    <w:rsid w:val="006D3096"/>
    <w:rsid w:val="006E6EBF"/>
    <w:rsid w:val="006F6062"/>
    <w:rsid w:val="00702872"/>
    <w:rsid w:val="00720ACE"/>
    <w:rsid w:val="00722568"/>
    <w:rsid w:val="00723A36"/>
    <w:rsid w:val="0072675D"/>
    <w:rsid w:val="00732C46"/>
    <w:rsid w:val="00761D2D"/>
    <w:rsid w:val="0079290D"/>
    <w:rsid w:val="00794E9C"/>
    <w:rsid w:val="007B0307"/>
    <w:rsid w:val="007B5638"/>
    <w:rsid w:val="007C3CF8"/>
    <w:rsid w:val="007D0FD4"/>
    <w:rsid w:val="007F0EAE"/>
    <w:rsid w:val="007F0EB2"/>
    <w:rsid w:val="0081361F"/>
    <w:rsid w:val="00820474"/>
    <w:rsid w:val="00841A17"/>
    <w:rsid w:val="00844D8E"/>
    <w:rsid w:val="00851C8E"/>
    <w:rsid w:val="008554B0"/>
    <w:rsid w:val="0086120C"/>
    <w:rsid w:val="00875771"/>
    <w:rsid w:val="0088221D"/>
    <w:rsid w:val="008825AE"/>
    <w:rsid w:val="00884146"/>
    <w:rsid w:val="00887832"/>
    <w:rsid w:val="00891EDC"/>
    <w:rsid w:val="00893604"/>
    <w:rsid w:val="0089657B"/>
    <w:rsid w:val="008A6114"/>
    <w:rsid w:val="008B0F47"/>
    <w:rsid w:val="008E3638"/>
    <w:rsid w:val="008E4F48"/>
    <w:rsid w:val="00912298"/>
    <w:rsid w:val="009320D8"/>
    <w:rsid w:val="00942CCD"/>
    <w:rsid w:val="009522BC"/>
    <w:rsid w:val="009637FC"/>
    <w:rsid w:val="00967A1E"/>
    <w:rsid w:val="009970EA"/>
    <w:rsid w:val="009A529C"/>
    <w:rsid w:val="009C09FF"/>
    <w:rsid w:val="009C121A"/>
    <w:rsid w:val="009F600D"/>
    <w:rsid w:val="00A074E4"/>
    <w:rsid w:val="00A20459"/>
    <w:rsid w:val="00A27076"/>
    <w:rsid w:val="00A342C6"/>
    <w:rsid w:val="00A51F97"/>
    <w:rsid w:val="00A76898"/>
    <w:rsid w:val="00AA44C4"/>
    <w:rsid w:val="00AC1DFD"/>
    <w:rsid w:val="00AC5AFB"/>
    <w:rsid w:val="00AD1001"/>
    <w:rsid w:val="00B04E3E"/>
    <w:rsid w:val="00B056E5"/>
    <w:rsid w:val="00B0621E"/>
    <w:rsid w:val="00B062B2"/>
    <w:rsid w:val="00B43E68"/>
    <w:rsid w:val="00B56F25"/>
    <w:rsid w:val="00B72D0E"/>
    <w:rsid w:val="00B74A01"/>
    <w:rsid w:val="00B771A6"/>
    <w:rsid w:val="00B9000E"/>
    <w:rsid w:val="00B96970"/>
    <w:rsid w:val="00BA790F"/>
    <w:rsid w:val="00BC3FCB"/>
    <w:rsid w:val="00BD016D"/>
    <w:rsid w:val="00BE2018"/>
    <w:rsid w:val="00BF196D"/>
    <w:rsid w:val="00BF7B58"/>
    <w:rsid w:val="00C054A3"/>
    <w:rsid w:val="00C1162D"/>
    <w:rsid w:val="00C14F87"/>
    <w:rsid w:val="00C15CEF"/>
    <w:rsid w:val="00C22A0F"/>
    <w:rsid w:val="00C25D35"/>
    <w:rsid w:val="00C36814"/>
    <w:rsid w:val="00C431D0"/>
    <w:rsid w:val="00C55B9C"/>
    <w:rsid w:val="00C55D61"/>
    <w:rsid w:val="00C64020"/>
    <w:rsid w:val="00C7090F"/>
    <w:rsid w:val="00C70EF4"/>
    <w:rsid w:val="00C87C99"/>
    <w:rsid w:val="00CB1682"/>
    <w:rsid w:val="00CC3E6D"/>
    <w:rsid w:val="00CD1A86"/>
    <w:rsid w:val="00CD748A"/>
    <w:rsid w:val="00CF5A33"/>
    <w:rsid w:val="00D06228"/>
    <w:rsid w:val="00D07444"/>
    <w:rsid w:val="00D15D14"/>
    <w:rsid w:val="00D30E30"/>
    <w:rsid w:val="00D30F45"/>
    <w:rsid w:val="00D352E2"/>
    <w:rsid w:val="00D43E5A"/>
    <w:rsid w:val="00D5373F"/>
    <w:rsid w:val="00D66A65"/>
    <w:rsid w:val="00D67C19"/>
    <w:rsid w:val="00DA165F"/>
    <w:rsid w:val="00DA2CE5"/>
    <w:rsid w:val="00DB1E14"/>
    <w:rsid w:val="00DC08DE"/>
    <w:rsid w:val="00DC56C0"/>
    <w:rsid w:val="00DD373A"/>
    <w:rsid w:val="00DD6C7D"/>
    <w:rsid w:val="00DE37FD"/>
    <w:rsid w:val="00DF4652"/>
    <w:rsid w:val="00E31D28"/>
    <w:rsid w:val="00E43590"/>
    <w:rsid w:val="00E4692A"/>
    <w:rsid w:val="00E6291F"/>
    <w:rsid w:val="00E676E9"/>
    <w:rsid w:val="00E71606"/>
    <w:rsid w:val="00E763DF"/>
    <w:rsid w:val="00E85879"/>
    <w:rsid w:val="00EA6EE4"/>
    <w:rsid w:val="00EB6D42"/>
    <w:rsid w:val="00F012CB"/>
    <w:rsid w:val="00F226A8"/>
    <w:rsid w:val="00F732B0"/>
    <w:rsid w:val="00F8606D"/>
    <w:rsid w:val="00F97E33"/>
    <w:rsid w:val="00FA2F63"/>
    <w:rsid w:val="00FD0A55"/>
    <w:rsid w:val="00FE05B6"/>
    <w:rsid w:val="00FE1224"/>
    <w:rsid w:val="00FE354A"/>
    <w:rsid w:val="00FF123D"/>
    <w:rsid w:val="01475CC0"/>
    <w:rsid w:val="02CC0AA4"/>
    <w:rsid w:val="03D14D79"/>
    <w:rsid w:val="06F83D7A"/>
    <w:rsid w:val="093B162E"/>
    <w:rsid w:val="0CD50D82"/>
    <w:rsid w:val="1622225B"/>
    <w:rsid w:val="185F2AD9"/>
    <w:rsid w:val="1867222A"/>
    <w:rsid w:val="1A0E6911"/>
    <w:rsid w:val="21C960D6"/>
    <w:rsid w:val="23F1238E"/>
    <w:rsid w:val="2687228A"/>
    <w:rsid w:val="28344EAE"/>
    <w:rsid w:val="298C743D"/>
    <w:rsid w:val="36135DAE"/>
    <w:rsid w:val="39986D3E"/>
    <w:rsid w:val="3B671706"/>
    <w:rsid w:val="3EED596A"/>
    <w:rsid w:val="3F0E74F7"/>
    <w:rsid w:val="41CA1F05"/>
    <w:rsid w:val="437A2023"/>
    <w:rsid w:val="460076E3"/>
    <w:rsid w:val="492411A5"/>
    <w:rsid w:val="511C588C"/>
    <w:rsid w:val="535823CF"/>
    <w:rsid w:val="563223D6"/>
    <w:rsid w:val="592F4DC7"/>
    <w:rsid w:val="5A4C3718"/>
    <w:rsid w:val="5C4B734F"/>
    <w:rsid w:val="5F577A15"/>
    <w:rsid w:val="600A718A"/>
    <w:rsid w:val="617409B8"/>
    <w:rsid w:val="62950D9F"/>
    <w:rsid w:val="66EC4951"/>
    <w:rsid w:val="678F6D73"/>
    <w:rsid w:val="698F450E"/>
    <w:rsid w:val="6AFA3600"/>
    <w:rsid w:val="6C3E2767"/>
    <w:rsid w:val="712817CA"/>
    <w:rsid w:val="72307A35"/>
    <w:rsid w:val="741C1457"/>
    <w:rsid w:val="7DEB75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page number"/>
    <w:basedOn w:val="8"/>
    <w:uiPriority w:val="0"/>
  </w:style>
  <w:style w:type="character" w:styleId="11">
    <w:name w:val="Hyperlink"/>
    <w:basedOn w:val="8"/>
    <w:uiPriority w:val="0"/>
    <w:rPr>
      <w:rFonts w:hint="default" w:ascii="Arial" w:hAnsi="Arial" w:cs="Arial"/>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448</Words>
  <Characters>2556</Characters>
  <Lines>21</Lines>
  <Paragraphs>5</Paragraphs>
  <TotalTime>5</TotalTime>
  <ScaleCrop>false</ScaleCrop>
  <LinksUpToDate>false</LinksUpToDate>
  <CharactersWithSpaces>2999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2018-05-15T01:52:00Z</dcterms:created>
  <dc:creator>User</dc:creator>
  <cp:lastModifiedBy>lenovo</cp:lastModifiedBy>
  <cp:lastPrinted>2020-06-30T07:21:00Z</cp:lastPrinted>
  <dcterms:modified xsi:type="dcterms:W3CDTF">2021-03-30T03:48:19Z</dcterms:modified>
  <dc:title>附件：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